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黑体简体" w:hAnsi="方正黑体简体" w:eastAsia="方正黑体简体" w:cs="方正黑体简体"/>
          <w:color w:val="auto"/>
          <w:sz w:val="44"/>
          <w:szCs w:val="44"/>
        </w:rPr>
      </w:pPr>
      <w:bookmarkStart w:id="122" w:name="_GoBack"/>
    </w:p>
    <w:p>
      <w:pPr>
        <w:jc w:val="both"/>
        <w:rPr>
          <w:rFonts w:hint="eastAsia" w:ascii="方正黑体简体" w:hAnsi="方正黑体简体" w:eastAsia="方正黑体简体" w:cs="方正黑体简体"/>
          <w:color w:val="auto"/>
          <w:sz w:val="44"/>
          <w:szCs w:val="44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color w:val="auto"/>
          <w:sz w:val="44"/>
          <w:szCs w:val="44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color w:val="auto"/>
          <w:sz w:val="72"/>
          <w:szCs w:val="72"/>
          <w:lang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color w:val="auto"/>
          <w:sz w:val="52"/>
          <w:szCs w:val="52"/>
          <w:lang w:eastAsia="zh-CN"/>
        </w:rPr>
        <w:t>广西企业电子统计台账系统</w:t>
      </w:r>
    </w:p>
    <w:p>
      <w:pPr>
        <w:tabs>
          <w:tab w:val="left" w:pos="5361"/>
        </w:tabs>
        <w:jc w:val="center"/>
        <w:rPr>
          <w:rFonts w:hint="eastAsia" w:ascii="方正黑体简体" w:hAnsi="方正黑体简体" w:eastAsia="方正黑体简体" w:cs="方正黑体简体"/>
          <w:color w:val="auto"/>
          <w:sz w:val="52"/>
          <w:szCs w:val="5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52"/>
          <w:szCs w:val="52"/>
          <w:lang w:val="en-US" w:eastAsia="zh-CN"/>
        </w:rPr>
        <w:t>3.0版本用户使用手册</w:t>
      </w:r>
    </w:p>
    <w:p>
      <w:pPr>
        <w:jc w:val="center"/>
        <w:rPr>
          <w:rFonts w:hint="eastAsia" w:ascii="方正黑体简体" w:hAnsi="方正黑体简体" w:eastAsia="方正黑体简体" w:cs="方正黑体简体"/>
          <w:color w:val="auto"/>
          <w:sz w:val="52"/>
          <w:szCs w:val="52"/>
          <w:lang w:val="en-US" w:eastAsia="zh-CN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color w:val="auto"/>
          <w:sz w:val="52"/>
          <w:szCs w:val="5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sz w:val="48"/>
          <w:szCs w:val="48"/>
          <w:lang w:val="en-US" w:eastAsia="zh-CN"/>
        </w:rPr>
        <w:t>（房地产开发经营业）</w:t>
      </w:r>
    </w:p>
    <w:p>
      <w:pPr>
        <w:jc w:val="center"/>
        <w:rPr>
          <w:rFonts w:hint="eastAsia" w:ascii="方正黑体简体" w:hAnsi="方正黑体简体" w:eastAsia="方正黑体简体" w:cs="方正黑体简体"/>
          <w:color w:val="auto"/>
          <w:sz w:val="52"/>
          <w:szCs w:val="52"/>
          <w:lang w:val="en-US" w:eastAsia="zh-CN"/>
        </w:rPr>
      </w:pPr>
    </w:p>
    <w:p>
      <w:pPr>
        <w:jc w:val="both"/>
        <w:rPr>
          <w:rFonts w:hint="eastAsia" w:ascii="方正黑体简体" w:hAnsi="方正黑体简体" w:eastAsia="方正黑体简体" w:cs="方正黑体简体"/>
          <w:color w:val="auto"/>
          <w:sz w:val="52"/>
          <w:szCs w:val="52"/>
          <w:lang w:val="en-US" w:eastAsia="zh-CN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color w:val="auto"/>
          <w:sz w:val="52"/>
          <w:szCs w:val="52"/>
          <w:lang w:val="en-US" w:eastAsia="zh-CN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color w:val="auto"/>
          <w:sz w:val="52"/>
          <w:szCs w:val="52"/>
          <w:lang w:val="en-US" w:eastAsia="zh-CN"/>
        </w:rPr>
      </w:pPr>
    </w:p>
    <w:p>
      <w:pPr>
        <w:jc w:val="center"/>
        <w:rPr>
          <w:rFonts w:hint="eastAsia" w:ascii="方正黑体简体" w:hAnsi="方正黑体简体" w:eastAsia="方正黑体简体" w:cs="方正黑体简体"/>
          <w:color w:val="auto"/>
          <w:sz w:val="52"/>
          <w:szCs w:val="52"/>
          <w:lang w:val="en-US" w:eastAsia="zh-CN"/>
        </w:rPr>
      </w:pPr>
    </w:p>
    <w:p>
      <w:pPr>
        <w:jc w:val="both"/>
        <w:rPr>
          <w:rFonts w:hint="default" w:ascii="方正黑体简体" w:hAnsi="方正黑体简体" w:eastAsia="方正黑体简体" w:cs="方正黑体简体"/>
          <w:color w:val="auto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-US" w:eastAsia="zh-CN"/>
        </w:rPr>
        <w:t>编制日期：2023年05月</w:t>
      </w:r>
    </w:p>
    <w:p>
      <w:pPr>
        <w:jc w:val="both"/>
        <w:rPr>
          <w:rFonts w:hint="default" w:ascii="方正黑体简体" w:hAnsi="方正黑体简体" w:eastAsia="方正黑体简体" w:cs="方正黑体简体"/>
          <w:color w:val="auto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sz w:val="32"/>
          <w:szCs w:val="32"/>
          <w:lang w:val="en-US" w:eastAsia="zh-CN"/>
        </w:rPr>
        <w:t>文档版本：v3.0</w:t>
      </w:r>
    </w:p>
    <w:p/>
    <w:p/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737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800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_Toc25891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系统新建账号/登录</w:t>
          </w:r>
          <w:r>
            <w:tab/>
          </w:r>
          <w:r>
            <w:fldChar w:fldCharType="begin"/>
          </w:r>
          <w:r>
            <w:instrText xml:space="preserve"> PAGEREF _Toc25891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_Toc31563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1.1. </w:t>
          </w:r>
          <w:r>
            <w:rPr>
              <w:rFonts w:hint="eastAsia"/>
              <w:lang w:val="en-US"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_Toc31563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_Toc31902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1.2. </w:t>
          </w:r>
          <w:r>
            <w:rPr>
              <w:rFonts w:hint="eastAsia"/>
              <w:lang w:val="en-US" w:eastAsia="zh-CN"/>
            </w:rPr>
            <w:t>新建统计账号</w:t>
          </w:r>
          <w:r>
            <w:tab/>
          </w:r>
          <w:r>
            <w:fldChar w:fldCharType="begin"/>
          </w:r>
          <w:r>
            <w:instrText xml:space="preserve"> PAGEREF _Toc31902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_Toc6453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_Toc6453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_Toc24044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_Toc24044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_Toc3009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2.1. </w:t>
          </w:r>
          <w:r>
            <w:rPr>
              <w:rFonts w:hint="eastAsia"/>
              <w:lang w:val="en-US" w:eastAsia="zh-CN"/>
            </w:rPr>
            <w:t>首页介绍</w:t>
          </w:r>
          <w:r>
            <w:tab/>
          </w:r>
          <w:r>
            <w:fldChar w:fldCharType="begin"/>
          </w:r>
          <w:r>
            <w:instrText xml:space="preserve"> PAGEREF _Toc3009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_Toc27647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_Toc27647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_Toc13566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_Toc13566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_Toc26631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3.1. </w:t>
          </w:r>
          <w:r>
            <w:rPr>
              <w:rFonts w:hint="eastAsia"/>
              <w:lang w:val="en-US" w:eastAsia="zh-CN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_Toc26631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_Toc846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3.2. </w:t>
          </w:r>
          <w:r>
            <w:rPr>
              <w:rFonts w:hint="eastAsia"/>
              <w:lang w:val="en-US" w:eastAsia="zh-CN"/>
            </w:rPr>
            <w:t>企业信息修改记录查看与比对</w:t>
          </w:r>
          <w:r>
            <w:tab/>
          </w:r>
          <w:r>
            <w:fldChar w:fldCharType="begin"/>
          </w:r>
          <w:r>
            <w:instrText xml:space="preserve"> PAGEREF _Toc846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_Toc14598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4. </w:t>
          </w:r>
          <w:r>
            <w:rPr>
              <w:rFonts w:hint="default"/>
              <w:lang w:val="en-US" w:eastAsia="zh-CN"/>
            </w:rPr>
            <w:t>房地产开发经营业</w:t>
          </w:r>
          <w:r>
            <w:rPr>
              <w:rFonts w:hint="eastAsia"/>
              <w:lang w:val="en-US" w:eastAsia="zh-CN"/>
            </w:rPr>
            <w:t>（</w:t>
          </w:r>
          <w:r>
            <w:rPr>
              <w:rFonts w:hint="default"/>
              <w:lang w:val="en-US" w:eastAsia="zh-CN"/>
            </w:rPr>
            <w:t>数据采集审核</w:t>
          </w:r>
          <w:r>
            <w:rPr>
              <w:rFonts w:hint="eastAsia"/>
              <w:lang w:val="en-US"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_Toc14598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_Toc21291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数据采集</w:t>
          </w:r>
          <w:r>
            <w:tab/>
          </w:r>
          <w:r>
            <w:fldChar w:fldCharType="begin"/>
          </w:r>
          <w:r>
            <w:instrText xml:space="preserve"> PAGEREF _Toc21291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_Toc7429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4.2. </w:t>
          </w:r>
          <w:r>
            <w:rPr>
              <w:rFonts w:hint="eastAsia"/>
              <w:lang w:val="en-US" w:eastAsia="zh-CN"/>
            </w:rPr>
            <w:t>数据存档</w:t>
          </w:r>
          <w:r>
            <w:tab/>
          </w:r>
          <w:r>
            <w:fldChar w:fldCharType="begin"/>
          </w:r>
          <w:r>
            <w:instrText xml:space="preserve"> PAGEREF _Toc7429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_Toc22536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凭证管理</w:t>
          </w:r>
          <w:r>
            <w:tab/>
          </w:r>
          <w:r>
            <w:fldChar w:fldCharType="begin"/>
          </w:r>
          <w:r>
            <w:instrText xml:space="preserve"> PAGEREF _Toc22536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_Toc30966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5.1. </w:t>
          </w:r>
          <w:r>
            <w:rPr>
              <w:rFonts w:hint="eastAsia"/>
              <w:lang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_Toc30966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_Toc3384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5.2.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_Toc3384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_Toc25726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电子</w:t>
          </w:r>
          <w:r>
            <w:rPr>
              <w:rFonts w:hint="eastAsia"/>
              <w:lang w:eastAsia="zh-CN"/>
            </w:rPr>
            <w:t>台账</w:t>
          </w:r>
          <w:r>
            <w:tab/>
          </w:r>
          <w:r>
            <w:fldChar w:fldCharType="begin"/>
          </w:r>
          <w:r>
            <w:instrText xml:space="preserve"> PAGEREF _Toc25726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_Toc30460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eastAsia="zh-CN"/>
            </w:rPr>
            <w:t xml:space="preserve">6.1. </w:t>
          </w:r>
          <w:r>
            <w:rPr>
              <w:rFonts w:hint="eastAsia"/>
              <w:lang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_Toc30460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_Toc14654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6.2.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_Toc14654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_Toc32049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7. </w:t>
          </w:r>
          <w:r>
            <w:rPr>
              <w:rFonts w:hint="eastAsia"/>
              <w:lang w:val="en-US" w:eastAsia="zh-CN"/>
            </w:rPr>
            <w:t>电子报表</w:t>
          </w:r>
          <w:r>
            <w:tab/>
          </w:r>
          <w:r>
            <w:fldChar w:fldCharType="begin"/>
          </w:r>
          <w:r>
            <w:instrText xml:space="preserve"> PAGEREF _Toc32049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_Toc26976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7.1. </w:t>
          </w:r>
          <w:r>
            <w:rPr>
              <w:rFonts w:hint="eastAsia"/>
              <w:lang w:val="en-US"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_Toc26976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_Toc13358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7.2.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_Toc13358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_Toc16228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8. </w:t>
          </w:r>
          <w:r>
            <w:rPr>
              <w:rFonts w:hint="eastAsia"/>
              <w:lang w:val="en-US" w:eastAsia="zh-CN"/>
            </w:rPr>
            <w:t>回收站</w:t>
          </w:r>
          <w:r>
            <w:tab/>
          </w:r>
          <w:r>
            <w:fldChar w:fldCharType="begin"/>
          </w:r>
          <w:r>
            <w:instrText xml:space="preserve"> PAGEREF _Toc16228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_Toc19922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8.1. </w:t>
          </w:r>
          <w:r>
            <w:rPr>
              <w:rFonts w:hint="eastAsia"/>
              <w:lang w:val="en-US" w:eastAsia="zh-CN"/>
            </w:rPr>
            <w:t>业务及功能描述</w:t>
          </w:r>
          <w:r>
            <w:tab/>
          </w:r>
          <w:r>
            <w:fldChar w:fldCharType="begin"/>
          </w:r>
          <w:r>
            <w:instrText xml:space="preserve"> PAGEREF _Toc19922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_Toc31110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8.2.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_Toc31110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_Toc31707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9. </w:t>
          </w:r>
          <w:r>
            <w:rPr>
              <w:rFonts w:hint="eastAsia"/>
              <w:lang w:val="en-US" w:eastAsia="zh-CN"/>
            </w:rPr>
            <w:t>数据备份与恢复</w:t>
          </w:r>
          <w:r>
            <w:tab/>
          </w:r>
          <w:r>
            <w:fldChar w:fldCharType="begin"/>
          </w:r>
          <w:r>
            <w:instrText xml:space="preserve"> PAGEREF _Toc31707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9.1. </w:t>
          </w:r>
          <w:r>
            <w:rPr>
              <w:rFonts w:hint="eastAsia"/>
              <w:lang w:val="en-US" w:eastAsia="zh-CN"/>
            </w:rPr>
            <w:t>数据备份</w:t>
          </w:r>
          <w:r>
            <w:tab/>
          </w:r>
          <w:r>
            <w:fldChar w:fldCharType="begin"/>
          </w:r>
          <w:r>
            <w:instrText xml:space="preserve"> PAGEREF _Toc1340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_Toc5614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9.2. </w:t>
          </w:r>
          <w:r>
            <w:rPr>
              <w:rFonts w:hint="eastAsia"/>
              <w:lang w:val="en-US" w:eastAsia="zh-CN"/>
            </w:rPr>
            <w:t>数据恢复</w:t>
          </w:r>
          <w:r>
            <w:tab/>
          </w:r>
          <w:r>
            <w:fldChar w:fldCharType="begin"/>
          </w:r>
          <w:r>
            <w:instrText xml:space="preserve"> PAGEREF _Toc5614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3"/>
        <w:bidi w:val="0"/>
        <w:ind w:left="425" w:leftChars="0" w:hanging="425" w:firstLineChars="0"/>
        <w:rPr>
          <w:rFonts w:hint="default"/>
          <w:lang w:val="en-US" w:eastAsia="zh-CN"/>
        </w:rPr>
      </w:pPr>
      <w:bookmarkStart w:id="0" w:name="_Toc8683"/>
      <w:bookmarkStart w:id="1" w:name="_Toc5840"/>
      <w:bookmarkStart w:id="2" w:name="_Toc10706"/>
      <w:bookmarkStart w:id="3" w:name="_Toc25891"/>
      <w:bookmarkStart w:id="4" w:name="_Toc10286"/>
      <w:bookmarkStart w:id="5" w:name="_Toc21056"/>
      <w:bookmarkStart w:id="6" w:name="_Toc26456"/>
      <w:r>
        <w:rPr>
          <w:rFonts w:hint="eastAsia"/>
          <w:lang w:val="en-US" w:eastAsia="zh-CN"/>
        </w:rPr>
        <w:t>系统新建账号/登录</w:t>
      </w:r>
      <w:bookmarkEnd w:id="0"/>
      <w:bookmarkEnd w:id="1"/>
      <w:bookmarkEnd w:id="2"/>
      <w:bookmarkEnd w:id="3"/>
    </w:p>
    <w:p>
      <w:pPr>
        <w:pStyle w:val="4"/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7" w:name="_Toc31563"/>
      <w:r>
        <w:rPr>
          <w:rFonts w:hint="eastAsia"/>
          <w:lang w:val="en-US" w:eastAsia="zh-CN"/>
        </w:rPr>
        <w:t>业务及功能描述</w:t>
      </w:r>
      <w:bookmarkEnd w:id="7"/>
    </w:p>
    <w:p>
      <w:pPr>
        <w:pStyle w:val="18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广西企业电子统计台账系统3.0版是单机版系统，由实施人员在安装时完成授权，系统默认提供了管理员账号，企业可以使用管理员账号创建业务办理的统计员账号。</w:t>
      </w:r>
    </w:p>
    <w:p>
      <w:pPr>
        <w:pStyle w:val="4"/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8" w:name="_Toc18247"/>
      <w:bookmarkStart w:id="9" w:name="_Toc22383"/>
      <w:bookmarkStart w:id="10" w:name="_Toc799"/>
      <w:bookmarkStart w:id="11" w:name="_Toc31902"/>
      <w:r>
        <w:rPr>
          <w:rFonts w:hint="eastAsia"/>
          <w:lang w:val="en-US" w:eastAsia="zh-CN"/>
        </w:rPr>
        <w:t>新建统计账号</w:t>
      </w:r>
      <w:bookmarkEnd w:id="8"/>
      <w:bookmarkEnd w:id="9"/>
      <w:bookmarkEnd w:id="10"/>
      <w:bookmarkEnd w:id="11"/>
    </w:p>
    <w:p>
      <w:pPr>
        <w:pStyle w:val="18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第一步，首次安装系统的企业电脑，在安装完成后，首先使用gsadmin账号进行登录。</w:t>
      </w:r>
    </w:p>
    <w:p>
      <w:pPr>
        <w:pStyle w:val="19"/>
        <w:bidi w:val="0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4171315" cy="2879725"/>
            <wp:effectExtent l="0" t="0" r="635" b="15875"/>
            <wp:docPr id="2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第二步，在系统左上角点击“</w:t>
      </w:r>
      <w:r>
        <w:drawing>
          <wp:inline distT="0" distB="0" distL="114300" distR="114300">
            <wp:extent cx="210185" cy="163195"/>
            <wp:effectExtent l="0" t="0" r="18415" b="8255"/>
            <wp:docPr id="2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展开菜单栏。在菜单栏中点击【用户管理】，进入用户管理界面。</w:t>
      </w:r>
    </w:p>
    <w:p>
      <w:pPr>
        <w:pStyle w:val="19"/>
        <w:bidi w:val="0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4808855" cy="1800225"/>
            <wp:effectExtent l="0" t="0" r="10795" b="9525"/>
            <wp:docPr id="2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第三步，在【用户管理】界面点击【新增】按钮，弹出新增用户账号弹窗口。</w:t>
      </w:r>
    </w:p>
    <w:p>
      <w:pPr>
        <w:pStyle w:val="19"/>
        <w:bidi w:val="0"/>
      </w:pPr>
      <w:r>
        <w:drawing>
          <wp:inline distT="0" distB="0" distL="114300" distR="114300">
            <wp:extent cx="5251450" cy="589915"/>
            <wp:effectExtent l="0" t="0" r="6350" b="635"/>
            <wp:docPr id="2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，设置【登录账号】、【登录密码】、【姓名】以及账号【是否有效】，并根据企业所属行业选择【报表类型】（报表类型为单选，关系到该用户在企业信息模块的采集和显示），根据企业需要做的统计报表选择【统计类型】（统计类型可多选，关系到企业可采集的数据类型和生成的台账、报表）</w:t>
      </w:r>
    </w:p>
    <w:p>
      <w:pPr>
        <w:pStyle w:val="18"/>
        <w:bidi w:val="0"/>
        <w:rPr>
          <w:rFonts w:hint="eastAsia"/>
          <w:color w:val="auto"/>
          <w:lang w:val="en-US" w:eastAsia="zh-CN"/>
        </w:rPr>
      </w:pPr>
      <w:r>
        <w:rPr>
          <w:rFonts w:hint="default"/>
          <w:lang w:val="en-US" w:eastAsia="zh-CN"/>
        </w:rPr>
        <w:t>例如：如企业所属行业为</w:t>
      </w:r>
      <w:r>
        <w:rPr>
          <w:rFonts w:hint="eastAsia"/>
          <w:lang w:val="en-US" w:eastAsia="zh-CN"/>
        </w:rPr>
        <w:t>房地产开发经营业</w:t>
      </w:r>
      <w:r>
        <w:rPr>
          <w:rFonts w:hint="default"/>
          <w:lang w:val="en-US" w:eastAsia="zh-CN"/>
        </w:rPr>
        <w:t>，需做</w:t>
      </w:r>
      <w:r>
        <w:rPr>
          <w:rFonts w:hint="eastAsia"/>
          <w:lang w:val="en-US" w:eastAsia="zh-CN"/>
        </w:rPr>
        <w:t>房地产开发经营业</w:t>
      </w:r>
      <w:r>
        <w:rPr>
          <w:rFonts w:hint="default"/>
          <w:lang w:val="en-US" w:eastAsia="zh-CN"/>
        </w:rPr>
        <w:t>统计报表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则【报表类型】勾选“</w:t>
      </w:r>
      <w:r>
        <w:rPr>
          <w:rFonts w:hint="eastAsia"/>
          <w:lang w:val="en-US" w:eastAsia="zh-CN"/>
        </w:rPr>
        <w:t>房地产开发经营业</w:t>
      </w:r>
      <w:r>
        <w:rPr>
          <w:rFonts w:hint="default"/>
          <w:lang w:val="en-US" w:eastAsia="zh-CN"/>
        </w:rPr>
        <w:t>”；在【统计类型】勾选“房地产开发经营业”。新增的账号在登录后，</w:t>
      </w:r>
      <w:r>
        <w:rPr>
          <w:rFonts w:hint="eastAsia"/>
          <w:lang w:val="en-US" w:eastAsia="zh-CN"/>
        </w:rPr>
        <w:t>可以采集数据生成房地产开发经营业的统计报表</w:t>
      </w:r>
      <w:r>
        <w:rPr>
          <w:rFonts w:hint="default"/>
          <w:lang w:val="en-US" w:eastAsia="zh-CN"/>
        </w:rPr>
        <w:t>。</w:t>
      </w:r>
    </w:p>
    <w:p>
      <w:pPr>
        <w:pStyle w:val="19"/>
        <w:bidi w:val="0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264785" cy="2319020"/>
            <wp:effectExtent l="0" t="0" r="12065" b="5080"/>
            <wp:docPr id="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第五步，提交：新账号信息设置完成后，点击【提交】完成添加账号；或者点击【取消】，取消本次新增操作。</w:t>
      </w:r>
    </w:p>
    <w:p>
      <w:pPr>
        <w:pStyle w:val="19"/>
        <w:bidi w:val="0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1638300" cy="466725"/>
            <wp:effectExtent l="0" t="0" r="0" b="9525"/>
            <wp:docPr id="6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bookmarkEnd w:id="6"/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2" w:name="_Toc6453"/>
      <w:r>
        <w:rPr>
          <w:rFonts w:hint="eastAsia"/>
          <w:lang w:val="en-US" w:eastAsia="zh-CN"/>
        </w:rPr>
        <w:t>操作步骤</w:t>
      </w:r>
      <w:bookmarkEnd w:id="12"/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4350385" cy="3239770"/>
            <wp:effectExtent l="0" t="0" r="12065" b="17780"/>
            <wp:docPr id="34" name="图片 3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第一步，系统部署完成后，双击“广西企业电子统计台账.exe”图标，打开系统。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第二步，输入正确的账号和密码（用gsadmin账号新增的统计员用户）。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第三步，点击【登录】，进入到系统首页。</w:t>
      </w:r>
    </w:p>
    <w:p>
      <w:pPr>
        <w:pStyle w:val="3"/>
        <w:bidi w:val="0"/>
        <w:ind w:left="425" w:leftChars="0" w:hanging="425" w:firstLineChars="0"/>
        <w:rPr>
          <w:rFonts w:hint="default"/>
          <w:lang w:val="en-US" w:eastAsia="zh-CN"/>
        </w:rPr>
      </w:pPr>
      <w:bookmarkStart w:id="13" w:name="_Toc23774"/>
      <w:bookmarkStart w:id="14" w:name="_Toc20385"/>
      <w:bookmarkStart w:id="15" w:name="_Toc17340"/>
      <w:bookmarkStart w:id="16" w:name="_Toc24044"/>
      <w:r>
        <w:rPr>
          <w:rFonts w:hint="eastAsia"/>
          <w:lang w:val="en-US" w:eastAsia="zh-CN"/>
        </w:rPr>
        <w:t>首页</w:t>
      </w:r>
      <w:bookmarkEnd w:id="13"/>
      <w:bookmarkEnd w:id="14"/>
      <w:bookmarkEnd w:id="15"/>
      <w:bookmarkEnd w:id="16"/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7" w:name="_Toc25145"/>
      <w:bookmarkStart w:id="18" w:name="_Toc17857"/>
      <w:bookmarkStart w:id="19" w:name="_Toc24192"/>
      <w:bookmarkStart w:id="20" w:name="_Toc3009"/>
      <w:r>
        <w:rPr>
          <w:rFonts w:hint="eastAsia"/>
          <w:lang w:val="en-US" w:eastAsia="zh-CN"/>
        </w:rPr>
        <w:t>首页介绍</w:t>
      </w:r>
      <w:bookmarkEnd w:id="17"/>
      <w:bookmarkEnd w:id="18"/>
      <w:bookmarkEnd w:id="19"/>
      <w:bookmarkEnd w:id="20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系统首页展示了系统名称，当前登录用户名称的基本信息。系统左上角提供展开/收缩功能菜单按钮，系统功能菜单提供系统所功能的入口；系统右上角提供修改用户密码、退出登录的功能；在首页的主界面，提供【企业信息】、【数据采集审核】、【电子台账】、【电子报表】四个主要功能模块的快捷入口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3355" cy="2658110"/>
            <wp:effectExtent l="0" t="0" r="4445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一、系统【展开/收缩菜单】按钮</w:t>
      </w:r>
      <w:r>
        <w:drawing>
          <wp:inline distT="0" distB="0" distL="114300" distR="114300">
            <wp:extent cx="184150" cy="179705"/>
            <wp:effectExtent l="0" t="0" r="6350" b="1079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，点击该按钮可以展开或收缩系统菜单。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二、【首页】按钮</w:t>
      </w:r>
      <w:r>
        <w:drawing>
          <wp:inline distT="0" distB="0" distL="114300" distR="114300">
            <wp:extent cx="201930" cy="179705"/>
            <wp:effectExtent l="0" t="0" r="7620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，点击【首页】按钮回到系统首页。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三、系统的名称。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四、期别年份选择。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五、统计类型切换，当前登录账号需要多种类型的统计报表，可点击指定统计类型进行切换，做指定统计报表类型的数据采集、台账、报表生成操作。</w:t>
      </w:r>
    </w:p>
    <w:p>
      <w:pPr>
        <w:pStyle w:val="18"/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448050" cy="1628775"/>
            <wp:effectExtent l="0" t="0" r="0" b="9525"/>
            <wp:docPr id="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六、当前登录系统的【用户名】。点击【用户名】，弹出【法律义务告知】、【操作手册】、【修改密码】和【退出登录】的选项。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3314700" cy="2590800"/>
            <wp:effectExtent l="0" t="0" r="0" b="0"/>
            <wp:docPr id="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七、企业信息、数据采集审核、电子台账、电子报表功能模块的快捷入口。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766185"/>
            <wp:effectExtent l="0" t="0" r="508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21" w:name="_Toc30469"/>
      <w:bookmarkStart w:id="22" w:name="_Toc27513"/>
      <w:bookmarkStart w:id="23" w:name="_Toc31639"/>
      <w:bookmarkStart w:id="24" w:name="_Toc27647"/>
      <w:r>
        <w:rPr>
          <w:rFonts w:hint="eastAsia"/>
          <w:lang w:val="en-US" w:eastAsia="zh-CN"/>
        </w:rPr>
        <w:t>操作步骤</w:t>
      </w:r>
      <w:bookmarkEnd w:id="21"/>
      <w:bookmarkEnd w:id="22"/>
      <w:bookmarkEnd w:id="23"/>
      <w:bookmarkEnd w:id="24"/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统计类型切换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第一步，点击系统右上角显示统计类型，弹出【统计类型切换】的选项。</w:t>
      </w:r>
    </w:p>
    <w:p>
      <w:pPr>
        <w:jc w:val="center"/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3543300" cy="1571625"/>
            <wp:effectExtent l="0" t="0" r="0" b="9525"/>
            <wp:docPr id="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第二步，点击指定统计类型名称（如点击“房地产开发经营业”），切换到该统计报表类型。切换成功后，系统的功能菜单切换为对应报表类型的功能。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319905" cy="2879725"/>
            <wp:effectExtent l="0" t="0" r="4445" b="1587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25" w:name="_Toc19621"/>
      <w:r>
        <w:rPr>
          <w:rFonts w:hint="eastAsia"/>
          <w:lang w:val="en-US" w:eastAsia="zh-CN"/>
        </w:rPr>
        <w:t>查看法律义务告知</w:t>
      </w:r>
      <w:bookmarkEnd w:id="25"/>
    </w:p>
    <w:p>
      <w:pPr>
        <w:ind w:firstLine="420" w:firstLineChars="200"/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第一步，点击系统右上角【用户名】，弹出【法律义务告知】、【操作手册】、【修改密码】和【退出登录】的选项。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362325" cy="2619375"/>
            <wp:effectExtent l="0" t="0" r="9525" b="9525"/>
            <wp:docPr id="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第二步，点击【法律义务告知】，弹出法律义务告知书窗口，查阅统计法律义务告知内容。点击【下载打印】，可把法律义务告知内容下载到本地电脑。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2085" cy="3663315"/>
            <wp:effectExtent l="0" t="0" r="5715" b="13335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26" w:name="_Toc4153"/>
      <w:r>
        <w:rPr>
          <w:rFonts w:hint="eastAsia"/>
          <w:lang w:val="en-US" w:eastAsia="zh-CN"/>
        </w:rPr>
        <w:t>操作手册下载</w:t>
      </w:r>
      <w:bookmarkEnd w:id="26"/>
    </w:p>
    <w:p>
      <w:pPr>
        <w:ind w:firstLine="420" w:firstLineChars="200"/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第一步，点击系统右上角【用户名】，弹出【法律义务告知】、【操作手册】、【修改密码】和【退出登录】的选项。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486150" cy="2619375"/>
            <wp:effectExtent l="0" t="0" r="0" b="9525"/>
            <wp:docPr id="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第二步，点击【操作手册】，可把操作手册下载到本地电脑。</w:t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27" w:name="_Toc13813"/>
      <w:r>
        <w:rPr>
          <w:rFonts w:hint="eastAsia"/>
          <w:lang w:val="en-US" w:eastAsia="zh-CN"/>
        </w:rPr>
        <w:t>修改用户密码</w:t>
      </w:r>
      <w:bookmarkEnd w:id="27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</w:t>
      </w: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点击系统右上角【用户名】</w:t>
      </w:r>
      <w:r>
        <w:rPr>
          <w:rFonts w:hint="eastAsia"/>
          <w:lang w:val="en-US" w:eastAsia="zh-CN"/>
        </w:rPr>
        <w:t>，弹出【法律义务告知】、【操作手册】、【修改密码】和【退出登录】的选项。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371850" cy="2686050"/>
            <wp:effectExtent l="0" t="0" r="0" b="0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第二步，点击【修改密码】，弹出修改密码窗口。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74770" cy="1800225"/>
            <wp:effectExtent l="0" t="0" r="11430" b="952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第三步，输入新密码和确认密码。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第四步，点击【保存】按钮，弹出确认提示，点击【确定】完成当前用户密码的更改。或点击【取消】按钮，可以取消密码的更改。</w:t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28" w:name="_Toc30026"/>
      <w:r>
        <w:rPr>
          <w:rFonts w:hint="eastAsia"/>
          <w:lang w:val="en-US" w:eastAsia="zh-CN"/>
        </w:rPr>
        <w:t>退出系统</w:t>
      </w:r>
      <w:bookmarkEnd w:id="28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第一步，点击系统右上角【用户名】，弹出【法律义务告知】、【操作手册】、【修改密码】和【退出登录】的选项。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362325" cy="2619375"/>
            <wp:effectExtent l="0" t="0" r="9525" b="9525"/>
            <wp:docPr id="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第二步，点击【退出登录】，弹出确认提示，点击【确定】退出系统。</w:t>
      </w:r>
    </w:p>
    <w:p>
      <w:pPr>
        <w:pStyle w:val="3"/>
        <w:bidi w:val="0"/>
        <w:ind w:left="425" w:leftChars="0" w:hanging="425" w:firstLineChars="0"/>
        <w:rPr>
          <w:rFonts w:hint="default"/>
          <w:lang w:val="en-US" w:eastAsia="zh-CN"/>
        </w:rPr>
      </w:pPr>
      <w:bookmarkStart w:id="29" w:name="_Toc22626"/>
      <w:bookmarkStart w:id="30" w:name="_Toc11689"/>
      <w:bookmarkStart w:id="31" w:name="_Toc24545"/>
      <w:bookmarkStart w:id="32" w:name="_Toc13566"/>
      <w:r>
        <w:rPr>
          <w:rFonts w:hint="eastAsia"/>
          <w:lang w:val="en-US" w:eastAsia="zh-CN"/>
        </w:rPr>
        <w:t>企业信息</w:t>
      </w:r>
      <w:bookmarkEnd w:id="29"/>
      <w:bookmarkEnd w:id="30"/>
      <w:bookmarkEnd w:id="31"/>
      <w:bookmarkEnd w:id="32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【企业信息】包含了【企业信息】和【企业信息修改记录】两个子功能模块。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广西企业电子统计台账系统实施部署完成后，单位首先要在企业信息功能模块中导入【调查单位基本情况】完善企业的信息，才能进行其他业务的办理。用户可从统计联网直报平台中导出201-1【调查单位基本情况】表，再把该表导入到广西企业电子统计台账系统中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系统记录了企业信息的修改记录，可对修改记录进行查询和选择多次修改记录进行比对。</w:t>
      </w:r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33" w:name="_Toc22504"/>
      <w:bookmarkStart w:id="34" w:name="_Toc14281"/>
      <w:bookmarkStart w:id="35" w:name="_Toc2558"/>
      <w:bookmarkStart w:id="36" w:name="_Toc26631"/>
      <w:r>
        <w:rPr>
          <w:rFonts w:hint="eastAsia"/>
          <w:lang w:val="en-US" w:eastAsia="zh-CN"/>
        </w:rPr>
        <w:t>企业信息</w:t>
      </w:r>
      <w:bookmarkEnd w:id="33"/>
      <w:bookmarkEnd w:id="34"/>
      <w:bookmarkEnd w:id="35"/>
      <w:bookmarkEnd w:id="36"/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37" w:name="_Toc14883"/>
      <w:bookmarkStart w:id="38" w:name="_Toc29877"/>
      <w:r>
        <w:rPr>
          <w:rFonts w:hint="eastAsia"/>
          <w:lang w:val="en-US" w:eastAsia="zh-CN"/>
        </w:rPr>
        <w:t>业务及功能描述</w:t>
      </w:r>
      <w:bookmarkEnd w:id="37"/>
      <w:bookmarkEnd w:id="38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用户在系统首页点击【企业信息】或在系统左侧菜单栏点击【企业信息】，进入到企业信息管理的功能模块。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01900"/>
            <wp:effectExtent l="0" t="0" r="2540" b="12700"/>
            <wp:docPr id="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在【企业信息】模块中，可查看调查单位的基本情况，进行【Excel企业信息导入】、【企业信息导出】及【修改】的操作。</w:t>
      </w:r>
    </w:p>
    <w:p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1195070"/>
            <wp:effectExtent l="0" t="0" r="15240" b="5080"/>
            <wp:docPr id="7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default"/>
          <w:lang w:val="en-US" w:eastAsia="zh-CN"/>
        </w:rPr>
      </w:pPr>
      <w:bookmarkStart w:id="39" w:name="_Toc3321"/>
      <w:bookmarkStart w:id="40" w:name="_Toc31866"/>
      <w:r>
        <w:rPr>
          <w:rFonts w:hint="eastAsia"/>
          <w:lang w:val="en-US" w:eastAsia="zh-CN"/>
        </w:rPr>
        <w:t>操作步骤</w:t>
      </w:r>
      <w:bookmarkEnd w:id="39"/>
      <w:bookmarkEnd w:id="40"/>
    </w:p>
    <w:p>
      <w:pPr>
        <w:pStyle w:val="6"/>
        <w:bidi w:val="0"/>
        <w:ind w:left="850" w:leftChars="0" w:hanging="85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Excel企业信息导入</w:t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由企业准备201-1【调查单位基本情况】表（可从统计联网直报平台中导出），再把该表导入到广西企业电子统计台账系统中。具体操作步骤如下：</w:t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第一步，进入企业信息（调查单位基本情况）界面，在页面最低端点击【Excel企业信息导入】按钮，弹出选择导入文件的界面。</w:t>
      </w:r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76725" cy="571500"/>
            <wp:effectExtent l="0" t="0" r="9525" b="0"/>
            <wp:docPr id="1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第二步，选择准备好的调查单位基本情况表，点击【打开】，导入企业信息。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1275" cy="2879725"/>
            <wp:effectExtent l="0" t="0" r="3175" b="15875"/>
            <wp:docPr id="27" name="图片 27" descr="2022-05-11_11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2-05-11_1105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第三步，刚导入的企业信息处于未保存状态，用户可以检查和修改更正企业信息，确认信息无误后，点击【保存】，完成企业信息的导入；或者点击【取消】，取消企业信息的导入。</w:t>
      </w:r>
    </w:p>
    <w:p>
      <w:pPr>
        <w:jc w:val="center"/>
      </w:pPr>
      <w:r>
        <w:drawing>
          <wp:inline distT="0" distB="0" distL="114300" distR="114300">
            <wp:extent cx="3495675" cy="6286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ind w:left="850" w:leftChars="0" w:hanging="85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企业信息导出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系统支持把【调查单位基本情况】表导出到本地电脑。</w:t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第一步，进入企业信息（调查单位基本情况）界面，点击【企业信息导出】，弹出导出企业信息的对话框。</w:t>
      </w:r>
    </w:p>
    <w:p>
      <w:pPr>
        <w:pStyle w:val="19"/>
        <w:bidi w:val="0"/>
        <w:rPr>
          <w:color w:val="auto"/>
        </w:rPr>
      </w:pPr>
      <w:r>
        <w:drawing>
          <wp:inline distT="0" distB="0" distL="114300" distR="114300">
            <wp:extent cx="4010025" cy="571500"/>
            <wp:effectExtent l="0" t="0" r="9525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第二步，选择文件保存的路径，点击【保存】，完成企业信息的导出。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4804410" cy="2564130"/>
            <wp:effectExtent l="0" t="0" r="15240" b="762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ind w:left="850" w:leftChars="0" w:hanging="85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企业信息修改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系统支持修改更新【调查单位基本情况】表的信息。</w:t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第一步，进入企业信息（调查单位基本情况）界面，点击【修改】，【调查单位基本情况】表变为可修改状态。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51225" cy="570865"/>
            <wp:effectExtent l="0" t="0" r="15875" b="63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第二步，逐项修改【调查单位基本情况】表中需要更新的内容。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第三步，修改完成后，点击【保存】，完成企业信息的更新；或点击【取消】，取消当前所有内容的修改。</w:t>
      </w:r>
    </w:p>
    <w:p>
      <w:pPr>
        <w:pStyle w:val="19"/>
        <w:bidi w:val="0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3381375" cy="749300"/>
            <wp:effectExtent l="0" t="0" r="9525" b="12700"/>
            <wp:docPr id="10" name="图片 10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41" w:name="_Toc1875"/>
      <w:bookmarkStart w:id="42" w:name="_Toc5774"/>
      <w:bookmarkStart w:id="43" w:name="_Toc16451"/>
      <w:bookmarkStart w:id="44" w:name="_Toc846"/>
      <w:r>
        <w:rPr>
          <w:rFonts w:hint="eastAsia"/>
          <w:lang w:val="en-US" w:eastAsia="zh-CN"/>
        </w:rPr>
        <w:t>企业信息修改记录查看与比对</w:t>
      </w:r>
      <w:bookmarkEnd w:id="41"/>
      <w:bookmarkEnd w:id="42"/>
      <w:bookmarkEnd w:id="43"/>
      <w:bookmarkEnd w:id="44"/>
    </w:p>
    <w:p>
      <w:pPr>
        <w:pStyle w:val="5"/>
        <w:bidi w:val="0"/>
        <w:ind w:left="709" w:leftChars="0" w:hanging="709" w:firstLineChars="0"/>
        <w:rPr>
          <w:rFonts w:hint="default"/>
          <w:lang w:val="en-US" w:eastAsia="zh-CN"/>
        </w:rPr>
      </w:pPr>
      <w:bookmarkStart w:id="45" w:name="_Toc22712"/>
      <w:bookmarkStart w:id="46" w:name="_Toc13969"/>
      <w:r>
        <w:rPr>
          <w:rFonts w:hint="eastAsia"/>
          <w:lang w:val="en-US" w:eastAsia="zh-CN"/>
        </w:rPr>
        <w:t>业务及功能描述</w:t>
      </w:r>
      <w:bookmarkEnd w:id="45"/>
      <w:bookmarkEnd w:id="46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用户登录系统后，依次点击【企业信息】→【企业信息修改记录】即可进入到【企业信息修改记录】功能界面。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系统支持查看单位信息的历史修改记录。可对多个记录进行【修改记录比对】，通过比对展示出不同版本的企业信息相互之间的区别。</w:t>
      </w:r>
    </w:p>
    <w:p>
      <w:pPr>
        <w:pStyle w:val="19"/>
        <w:bidi w:val="0"/>
        <w:jc w:val="center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265420" cy="1055370"/>
            <wp:effectExtent l="0" t="0" r="11430" b="11430"/>
            <wp:docPr id="8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default"/>
          <w:lang w:val="en-US" w:eastAsia="zh-CN"/>
        </w:rPr>
      </w:pPr>
      <w:bookmarkStart w:id="47" w:name="_Toc1532"/>
      <w:bookmarkStart w:id="48" w:name="_Toc21969"/>
      <w:r>
        <w:rPr>
          <w:rFonts w:hint="eastAsia"/>
          <w:lang w:val="en-US" w:eastAsia="zh-CN"/>
        </w:rPr>
        <w:t>操作步骤</w:t>
      </w:r>
      <w:bookmarkEnd w:id="47"/>
      <w:bookmarkEnd w:id="48"/>
    </w:p>
    <w:p>
      <w:pPr>
        <w:pStyle w:val="6"/>
        <w:bidi w:val="0"/>
        <w:ind w:left="850" w:leftChars="0" w:hanging="85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查询修改记录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输入单位名称，点击【查询】，可查询对应的修改记录。</w:t>
      </w:r>
    </w:p>
    <w:p>
      <w:pPr>
        <w:pStyle w:val="6"/>
        <w:bidi w:val="0"/>
        <w:ind w:left="850" w:leftChars="0" w:hanging="85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修改记录比对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第一步，勾选需要比对的多个记录信息。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第二步，点击【修改记录比对】，跳转到比对的界面，查看两次记录的区别。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226945"/>
            <wp:effectExtent l="0" t="0" r="6350" b="1905"/>
            <wp:docPr id="8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9705" cy="1259840"/>
            <wp:effectExtent l="0" t="0" r="17145" b="16510"/>
            <wp:docPr id="8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第三步，点击【返回上一级】，结束修改记录比对信息的查看，回到【企业信息修改记录】主界面。</w:t>
      </w:r>
    </w:p>
    <w:p>
      <w:pPr>
        <w:pStyle w:val="3"/>
        <w:bidi w:val="0"/>
        <w:ind w:left="425" w:leftChars="0" w:hanging="425" w:firstLineChars="0"/>
        <w:rPr>
          <w:rFonts w:hint="default"/>
          <w:lang w:val="en-US" w:eastAsia="zh-CN"/>
        </w:rPr>
      </w:pPr>
      <w:bookmarkStart w:id="49" w:name="_Toc18950"/>
      <w:bookmarkStart w:id="50" w:name="_Toc6533"/>
      <w:bookmarkStart w:id="51" w:name="_Toc14598"/>
      <w:r>
        <w:rPr>
          <w:rFonts w:hint="default"/>
          <w:lang w:val="en-US" w:eastAsia="zh-CN"/>
        </w:rPr>
        <w:t>房地产开发经营业</w:t>
      </w: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数据采集审核</w:t>
      </w:r>
      <w:bookmarkEnd w:id="49"/>
      <w:bookmarkEnd w:id="50"/>
      <w:r>
        <w:rPr>
          <w:rFonts w:hint="eastAsia"/>
          <w:lang w:val="en-US" w:eastAsia="zh-CN"/>
        </w:rPr>
        <w:t>）</w:t>
      </w:r>
      <w:bookmarkEnd w:id="51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【数据采集审核】模块包含了【数据采集】、【数据存档】两个子功能模块。</w:t>
      </w:r>
    </w:p>
    <w:p>
      <w:pPr>
        <w:pStyle w:val="18"/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lang w:val="en-US" w:eastAsia="zh-CN"/>
        </w:rPr>
        <w:t>【数据采集】包含：【</w:t>
      </w:r>
      <w:r>
        <w:rPr>
          <w:rFonts w:hint="eastAsia"/>
          <w:color w:val="auto"/>
          <w:highlight w:val="none"/>
          <w:lang w:val="en-US" w:eastAsia="zh-CN"/>
        </w:rPr>
        <w:t>房地产项目投资采集</w:t>
      </w:r>
      <w:r>
        <w:rPr>
          <w:rFonts w:hint="eastAsia"/>
          <w:lang w:val="en-US" w:eastAsia="zh-CN"/>
        </w:rPr>
        <w:t>】</w:t>
      </w:r>
      <w:r>
        <w:rPr>
          <w:rFonts w:hint="eastAsia"/>
          <w:color w:val="auto"/>
          <w:highlight w:val="none"/>
          <w:lang w:val="en-US" w:eastAsia="zh-CN"/>
        </w:rPr>
        <w:t>、【商品房网签备案明细】、【资金土地账页采集】</w:t>
      </w:r>
      <w:r>
        <w:rPr>
          <w:rFonts w:hint="eastAsia"/>
          <w:lang w:val="en-US" w:eastAsia="zh-CN"/>
        </w:rPr>
        <w:t>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【数据存档】包含：【房地产项目投资存档】、【商品房网签备案明细存档】、【资金土地账页存档】。</w:t>
      </w:r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52" w:name="_Toc21291"/>
      <w:r>
        <w:rPr>
          <w:rFonts w:hint="eastAsia"/>
          <w:lang w:val="en-US" w:eastAsia="zh-CN"/>
        </w:rPr>
        <w:t>数据采集</w:t>
      </w:r>
      <w:bookmarkEnd w:id="52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用户采集【</w:t>
      </w:r>
      <w:r>
        <w:rPr>
          <w:rFonts w:hint="eastAsia"/>
          <w:color w:val="auto"/>
          <w:highlight w:val="none"/>
          <w:lang w:val="en-US" w:eastAsia="zh-CN"/>
        </w:rPr>
        <w:t>房地产项目投资采集</w:t>
      </w:r>
      <w:r>
        <w:rPr>
          <w:rFonts w:hint="eastAsia"/>
          <w:lang w:val="en-US" w:eastAsia="zh-CN"/>
        </w:rPr>
        <w:t>】数据按月生成【房地产开发项目统计台账】，</w:t>
      </w:r>
      <w:r>
        <w:rPr>
          <w:rFonts w:hint="eastAsia"/>
          <w:color w:val="auto"/>
          <w:highlight w:val="none"/>
          <w:lang w:val="en-US" w:eastAsia="zh-CN"/>
        </w:rPr>
        <w:t>【商品房网签备案明细】</w:t>
      </w:r>
      <w:r>
        <w:rPr>
          <w:rFonts w:hint="eastAsia"/>
          <w:lang w:val="en-US" w:eastAsia="zh-CN"/>
        </w:rPr>
        <w:t>数据按月生成【商品房签约备案台账】，</w:t>
      </w:r>
      <w:r>
        <w:rPr>
          <w:rFonts w:hint="eastAsia"/>
          <w:color w:val="auto"/>
          <w:highlight w:val="none"/>
          <w:lang w:val="en-US" w:eastAsia="zh-CN"/>
        </w:rPr>
        <w:t>【资金土地账页采集】</w:t>
      </w:r>
      <w:r>
        <w:rPr>
          <w:rFonts w:hint="eastAsia"/>
          <w:lang w:val="en-US" w:eastAsia="zh-CN"/>
        </w:rPr>
        <w:t>数据按月生成【资金土地账页】。</w:t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53" w:name="_Ref23402"/>
      <w:r>
        <w:rPr>
          <w:rFonts w:hint="eastAsia"/>
          <w:lang w:val="en-US" w:eastAsia="zh-CN"/>
        </w:rPr>
        <w:t>房地产项目投资采集</w:t>
      </w:r>
      <w:bookmarkEnd w:id="53"/>
    </w:p>
    <w:p>
      <w:pPr>
        <w:pStyle w:val="6"/>
        <w:bidi w:val="0"/>
        <w:ind w:left="850" w:leftChars="0" w:hanging="850" w:firstLineChars="0"/>
        <w:rPr>
          <w:rFonts w:hint="default"/>
          <w:lang w:val="en-US" w:eastAsia="zh-CN"/>
        </w:rPr>
      </w:pPr>
      <w:bookmarkStart w:id="54" w:name="_Toc9225"/>
      <w:bookmarkStart w:id="55" w:name="_Toc7769"/>
      <w:r>
        <w:rPr>
          <w:rFonts w:hint="eastAsia"/>
          <w:lang w:val="en-US" w:eastAsia="zh-CN"/>
        </w:rPr>
        <w:t>业务及功能描述</w:t>
      </w:r>
      <w:bookmarkEnd w:id="54"/>
      <w:bookmarkEnd w:id="55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用户登录系统后，在系统首页点击【数据采集审核】→【数据采集】→【</w:t>
      </w:r>
      <w:r>
        <w:rPr>
          <w:rFonts w:hint="eastAsia"/>
          <w:color w:val="auto"/>
          <w:highlight w:val="none"/>
          <w:lang w:val="en-US" w:eastAsia="zh-CN"/>
        </w:rPr>
        <w:t>房地产项目投资采集</w:t>
      </w:r>
      <w:r>
        <w:rPr>
          <w:rFonts w:hint="eastAsia"/>
          <w:lang w:val="en-US" w:eastAsia="zh-CN"/>
        </w:rPr>
        <w:t>】，或者在系统左侧功能菜单依次点击【房地产开发经营业】→【数据采集】→【</w:t>
      </w:r>
      <w:r>
        <w:rPr>
          <w:rFonts w:hint="eastAsia"/>
          <w:color w:val="auto"/>
          <w:highlight w:val="none"/>
          <w:lang w:val="en-US" w:eastAsia="zh-CN"/>
        </w:rPr>
        <w:t>房地产项目投资采集</w:t>
      </w:r>
      <w:r>
        <w:rPr>
          <w:rFonts w:hint="eastAsia"/>
          <w:lang w:val="en-US" w:eastAsia="zh-CN"/>
        </w:rPr>
        <w:t>】，进入到【</w:t>
      </w:r>
      <w:r>
        <w:rPr>
          <w:rFonts w:hint="eastAsia"/>
          <w:color w:val="auto"/>
          <w:highlight w:val="none"/>
          <w:lang w:val="en-US" w:eastAsia="zh-CN"/>
        </w:rPr>
        <w:t>房地产项目投资采集</w:t>
      </w:r>
      <w:r>
        <w:rPr>
          <w:rFonts w:hint="eastAsia"/>
          <w:lang w:val="en-US" w:eastAsia="zh-CN"/>
        </w:rPr>
        <w:t>】功能界面。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通过手动新增和Excel批量导入两种方式采集房地产项目投资数据。采集的数据内容包括了数据表名称数据表名称；项目代码；项目名称；省(自治区、直辖市)；市(地、州、盟)；县(市、区、旗)；乡(镇)、街(村)门牌号；项目建设所在地区划代码；开工时间；竣工时间；台账时间；填录人员；月份；计划总投资；自开始建设累计完成投资；本年完成投资总计；建筑工程投资；安装工程投资；设备工器具购置；其他费用合计；旧建筑物购置费；土地购置费；住宅投资；办公楼投资；商业营业用房投资；其他；本年新增固定资产；其中:90平方米及以下；90-144平方米；144平方米以上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>广西企业电子统计台账系统</w:t>
      </w:r>
      <w:r>
        <w:rPr>
          <w:rFonts w:hint="eastAsia"/>
          <w:lang w:val="en-US" w:eastAsia="zh-CN"/>
        </w:rPr>
        <w:t>提供了房地产项目投资采集的Excel表格模板和数据采集默认模板，用户可下载表格模板填写数据后，一键导入到系统中。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412875"/>
            <wp:effectExtent l="0" t="0" r="5715" b="15875"/>
            <wp:docPr id="9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ind w:left="850" w:leftChars="0" w:hanging="850" w:firstLineChars="0"/>
        <w:rPr>
          <w:rFonts w:hint="eastAsia"/>
          <w:lang w:val="en-US" w:eastAsia="zh-CN"/>
        </w:rPr>
      </w:pPr>
      <w:bookmarkStart w:id="56" w:name="_Toc20037"/>
      <w:bookmarkStart w:id="57" w:name="_Toc9333"/>
      <w:r>
        <w:rPr>
          <w:rFonts w:hint="eastAsia"/>
          <w:lang w:val="en-US" w:eastAsia="zh-CN"/>
        </w:rPr>
        <w:t>操作步骤</w:t>
      </w:r>
      <w:bookmarkEnd w:id="56"/>
      <w:bookmarkEnd w:id="57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模板下载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>广西企业电子统计台账系统</w:t>
      </w:r>
      <w:r>
        <w:rPr>
          <w:rFonts w:hint="eastAsia"/>
          <w:lang w:val="en-US" w:eastAsia="zh-CN"/>
        </w:rPr>
        <w:t>提供了【房地产项目投资采集】的excel表格模板。用户在【房地产项目投资采集】功能界面点击【模板下载】，在弹出的窗口中选择下载路径后，点击【保存】，把房地产项目投资采集的Excel表格模板下载到本地电脑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943350" cy="552450"/>
            <wp:effectExtent l="0" t="0" r="0" b="0"/>
            <wp:docPr id="9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66235" cy="2520315"/>
            <wp:effectExtent l="0" t="0" r="5715" b="13335"/>
            <wp:docPr id="9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left="991" w:leftChars="0" w:hanging="991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模板管理与配置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系统提供了默认的数据采集模板，如果使用系统下载的Excel表格填写【房地产项目投资采集】数据，不需要新建模板，可直接使用默认的数据采集模板导入房地产项目投资数据。</w:t>
      </w:r>
    </w:p>
    <w:p>
      <w:pPr>
        <w:pStyle w:val="18"/>
        <w:numPr>
          <w:ilvl w:val="0"/>
          <w:numId w:val="2"/>
        </w:numPr>
        <w:bidi w:val="0"/>
        <w:ind w:left="42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新增模板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根据房地产项目投资数据来源表的样式，在广西企业电子统计台账系统中进行模板配置。新增模板的操作步骤如下：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第一步，进入新增模板界面：在【房地产项目投资采集】界面，依次点击【导入数据明细】→【新增模板】，跳转到编辑新增模板界面。</w:t>
      </w:r>
    </w:p>
    <w:p>
      <w:pPr>
        <w:jc w:val="center"/>
      </w:pPr>
      <w:r>
        <w:drawing>
          <wp:inline distT="0" distB="0" distL="114300" distR="114300">
            <wp:extent cx="3747770" cy="539750"/>
            <wp:effectExtent l="0" t="0" r="508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90525"/>
            <wp:effectExtent l="0" t="0" r="698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模板配置：在模板编辑界面，填写模板信息，包括报表类型、模板名称、数据开始行、数据结束倒数行、剔除行判断内容所在列、剔除行判断内容、取数工作表配置、报表字段映射配置。具体字段的解释可查阅模板表格后面的红色字体注释内容。</w:t>
      </w:r>
    </w:p>
    <w:p>
      <w:pPr>
        <w:jc w:val="center"/>
        <w:rPr>
          <w:rFonts w:hint="eastAsia"/>
          <w:b/>
          <w:bCs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9865" cy="5019040"/>
            <wp:effectExtent l="0" t="0" r="6985" b="1016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737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/>
          <w:b/>
          <w:bCs/>
          <w:lang w:val="en-US" w:eastAsia="zh-CN"/>
        </w:rP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ind w:left="0" w:leftChars="0" w:firstLine="0" w:firstLineChars="0"/>
        <w:jc w:val="lef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模板配置示例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模板配置截图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5999480"/>
            <wp:effectExtent l="0" t="0" r="5080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9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  <w:sectPr>
          <w:pgSz w:w="11906" w:h="16838"/>
          <w:pgMar w:top="1440" w:right="1800" w:bottom="1440" w:left="1800" w:header="737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eastAsia="zh-CN"/>
        </w:rPr>
        <w:t>数据来源表截图</w:t>
      </w:r>
    </w:p>
    <w:p>
      <w:pPr>
        <w:jc w:val="center"/>
        <w:rPr>
          <w:rFonts w:hint="eastAsia" w:eastAsia="宋体"/>
          <w:b/>
          <w:bCs/>
          <w:lang w:eastAsia="zh-CN"/>
        </w:rPr>
      </w:pPr>
      <w:r>
        <w:drawing>
          <wp:inline distT="0" distB="0" distL="114300" distR="114300">
            <wp:extent cx="8851265" cy="4370070"/>
            <wp:effectExtent l="0" t="0" r="6985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配置示例：如上述“模板配置截图”和“数据来源表截图”所示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"/>
        <w:gridCol w:w="3780"/>
        <w:gridCol w:w="1545"/>
        <w:gridCol w:w="6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88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模板基本信息配置：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报表类型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根据导入原始数据的类型，选择指定的报表类型，默认自动选择，通常不需要手动修改。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模板名称</w:t>
            </w:r>
          </w:p>
        </w:tc>
        <w:tc>
          <w:tcPr>
            <w:tcW w:w="6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输入模板名称，导入数据时通过模板名称来选择所使用的模板。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数据开始行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数据来源表的有效数据是从</w:t>
            </w: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第</w:t>
            </w:r>
            <w:r>
              <w:rPr>
                <w:rFonts w:hint="eastAsia" w:eastAsia="宋体" w:cs="宋体" w:asciiTheme="minorAscii" w:hAnsiTheme="minorAscii"/>
                <w:kern w:val="2"/>
                <w:sz w:val="18"/>
                <w:szCs w:val="18"/>
                <w:vertAlign w:val="baseline"/>
                <w:lang w:val="en-US" w:eastAsia="zh-CN" w:bidi="ar-SA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行开始，所以模板里填“</w:t>
            </w:r>
            <w:r>
              <w:rPr>
                <w:rFonts w:hint="eastAsia" w:eastAsia="宋体" w:cs="宋体" w:asciiTheme="minorAscii" w:hAnsiTheme="minorAscii"/>
                <w:kern w:val="2"/>
                <w:sz w:val="18"/>
                <w:szCs w:val="18"/>
                <w:vertAlign w:val="baseline"/>
                <w:lang w:val="en-US" w:eastAsia="zh-CN" w:bidi="ar-SA"/>
              </w:rPr>
              <w:t>8</w:t>
            </w: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”。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数据结束倒数行</w:t>
            </w:r>
          </w:p>
        </w:tc>
        <w:tc>
          <w:tcPr>
            <w:tcW w:w="6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即剔除底部无效的项数据，数据表有效数据结束为倒数第几行则填写相应的数字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  <w:t>，示例模板中没有</w:t>
            </w: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  <w:t>需要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  <w:t>剔除的数据</w:t>
            </w: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  <w:t>可填1或者0，也可以不填写。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剔除行判断内容所在列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通过判断某一列所有数据行的关键内容，剔除数据表中间的无效数据行</w:t>
            </w:r>
            <w:r>
              <w:rPr>
                <w:rFonts w:hint="eastAsia" w:eastAsia="宋体" w:cs="宋体" w:asciiTheme="minorAscii" w:hAnsiTheme="minorAscii"/>
                <w:kern w:val="2"/>
                <w:sz w:val="18"/>
                <w:szCs w:val="18"/>
                <w:vertAlign w:val="baseline"/>
                <w:lang w:val="en-US" w:eastAsia="zh-CN" w:bidi="ar-SA"/>
              </w:rPr>
              <w:t>。</w:t>
            </w: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若中间没有需要剔除的行，可以使用系统默认值或者不填。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剔除行判断内容</w:t>
            </w:r>
          </w:p>
        </w:tc>
        <w:tc>
          <w:tcPr>
            <w:tcW w:w="6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  <w:t>数据来源表中间有无效的数据行需要剔除，在剔除行判断内容处填写关键词即可进行剔除，如示例的数据表中，没有需要剔除的行，不需要填写。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剔除方式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1.模糊剔除：根据填写的剔除内容，模糊匹配进行剔除。2.精确剔除：根据填写的剔除内容，精确匹配进行剔除。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是否行转列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默认选择“否”，需要行转列选择“是”。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取数工作表方式</w:t>
            </w:r>
          </w:p>
        </w:tc>
        <w:tc>
          <w:tcPr>
            <w:tcW w:w="37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设置根据工作表的名称或者工作表号来采集表格数据。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取数工作表配置</w:t>
            </w:r>
          </w:p>
        </w:tc>
        <w:tc>
          <w:tcPr>
            <w:tcW w:w="69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  <w:t>填写需要采集的数据的工作表号或工作表名称，如果需要设置采集多个表，表号或表名称之间用英文逗号“,”链接。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vertAlign w:val="baseline"/>
                <w:lang w:val="en-US" w:eastAsia="zh-CN" w:bidi="ar-SA"/>
              </w:rPr>
              <w:t>示例的模板配置填写了“1”，表示采集了第1个表sheet1的数据。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88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报表字段映射配置：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项目代码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填写数据来源表中指定数据列或单元格坐标，如“项目代码”从数据来源表的B3单元格来取值，所以数据【来源类型】选择“单元格”，所在行填写“3”，所在列填“B”。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项目名称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填写数据来源表中指定数据列或单元格坐标，如“项目名称”从数据来源表的D3单元格来取值，所以数据【来源类型】选择“单元格”，所在行填写“3”，所在列填“D”。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月份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填写数据来源表中指定数据列或单元格坐标，如“月份”从数据来源表的</w:t>
            </w:r>
            <w:r>
              <w:rPr>
                <w:rFonts w:hint="eastAsia" w:eastAsia="宋体" w:cs="宋体" w:asciiTheme="minorAscii" w:hAnsiTheme="minorAscii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A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列来取值，所以数据【来源类型】选择“列表”，所在列填“</w:t>
            </w:r>
            <w:r>
              <w:rPr>
                <w:rFonts w:hint="eastAsia" w:eastAsia="宋体" w:cs="宋体" w:asciiTheme="minorAscii" w:hAnsiTheme="minorAscii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A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eastAsia="宋体" w:cs="宋体" w:asciiTheme="minorAscii" w:hAnsiTheme="minorAscii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计划总投资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填写数据来源表中指定数据列或单元格坐标，如“</w:t>
            </w:r>
            <w:r>
              <w:rPr>
                <w:rFonts w:hint="eastAsia" w:eastAsia="宋体" w:cs="宋体" w:asciiTheme="minorAscii" w:hAnsiTheme="minorAscii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名称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”从数据来源表的</w:t>
            </w:r>
            <w:r>
              <w:rPr>
                <w:rFonts w:hint="eastAsia" w:eastAsia="宋体" w:cs="宋体" w:asciiTheme="minorAscii" w:hAnsiTheme="minorAscii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B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列来取值，所以数据【来源类型】选择“</w:t>
            </w:r>
            <w:r>
              <w:rPr>
                <w:rFonts w:hint="eastAsia" w:eastAsia="宋体" w:cs="宋体" w:asciiTheme="minorAscii" w:hAnsiTheme="minorAscii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列表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”，所在列填“</w:t>
            </w:r>
            <w:r>
              <w:rPr>
                <w:rFonts w:hint="eastAsia" w:eastAsia="宋体" w:cs="宋体" w:asciiTheme="minorAscii" w:hAnsiTheme="minorAscii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B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......</w:t>
            </w:r>
          </w:p>
        </w:tc>
        <w:tc>
          <w:tcPr>
            <w:tcW w:w="123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其他数据取值操作方式如上，填写对应本地导入文件的序号即可。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3880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340" w:lineRule="exact"/>
              <w:ind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新增字段映射：点击“新增字段映射”按钮，添加一个“报表字段映射”表，支持同时采集多个产品数据。</w:t>
            </w:r>
          </w:p>
        </w:tc>
      </w:tr>
    </w:tbl>
    <w:p>
      <w:pPr>
        <w:pStyle w:val="18"/>
        <w:bidi w:val="0"/>
        <w:ind w:left="0" w:leftChars="0" w:firstLine="0" w:firstLineChars="0"/>
        <w:rPr>
          <w:rFonts w:hint="eastAsia"/>
          <w:lang w:val="en-US" w:eastAsia="zh-CN"/>
        </w:rPr>
        <w:sectPr>
          <w:pgSz w:w="16838" w:h="11906" w:orient="landscape"/>
          <w:pgMar w:top="1800" w:right="1440" w:bottom="1800" w:left="1440" w:header="737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第三步，完成编辑后提交：新增模板内容填写完成后，点击【提交】，完成模板的新增；或者点击【取消】，取消新增模板。</w:t>
      </w:r>
    </w:p>
    <w:p>
      <w:pPr>
        <w:pStyle w:val="18"/>
        <w:numPr>
          <w:ilvl w:val="0"/>
          <w:numId w:val="2"/>
        </w:numPr>
        <w:bidi w:val="0"/>
        <w:ind w:left="420" w:leftChars="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修改模板</w:t>
      </w:r>
    </w:p>
    <w:p>
      <w:pPr>
        <w:pStyle w:val="18"/>
        <w:numPr>
          <w:ilvl w:val="0"/>
          <w:numId w:val="0"/>
        </w:numPr>
        <w:bidi w:val="0"/>
        <w:ind w:left="420" w:left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注：不要修改默认的模板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如果房地产项目投资数据来源表的样式发生了变化化，需要在广西企业电子统计台账系统中对原来的模板进行相应的修改，与新的房地产项目投资数据来源表进行匹配。修改模板的操作步骤如下：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第一步，进入修改模板界面：在【房地产项目投资采集】界面，点击【导入数据明细】，选择需要修改的【模板名称】，然后点击【修改模板】，跳转到修改模板界面。</w:t>
      </w:r>
    </w:p>
    <w:p>
      <w:pPr>
        <w:pStyle w:val="19"/>
        <w:bidi w:val="0"/>
      </w:pPr>
      <w:r>
        <w:drawing>
          <wp:inline distT="0" distB="0" distL="114300" distR="114300">
            <wp:extent cx="3514725" cy="600075"/>
            <wp:effectExtent l="0" t="0" r="9525" b="952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72110"/>
            <wp:effectExtent l="0" t="0" r="6350" b="889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第二步，在模板编辑页面，修改模板的信息，完成修改后点击【提交】完成模板信息的更新修改；或者点击【取消】，取消对模板的修改。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267075" cy="533400"/>
            <wp:effectExtent l="0" t="0" r="9525" b="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left="991" w:leftChars="0" w:hanging="991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导入房地产项目投资采集数据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模板配置完成后，即可使用房地产项目投资数据来源表（excel表格），直接把房地产项目投资数据，一键导入到广西企业电子统计台账系统中。具体操作步骤如下：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第一步，在【房地产项目投资采集】界面，点击【导入数据明细】，选择与导入表格匹配的【报表模板】，然后点击【Excel数据导入】，跳转到选择导入表格的界面。</w:t>
      </w:r>
    </w:p>
    <w:p>
      <w:pPr>
        <w:pStyle w:val="19"/>
        <w:bidi w:val="0"/>
      </w:pPr>
      <w:r>
        <w:drawing>
          <wp:inline distT="0" distB="0" distL="114300" distR="114300">
            <wp:extent cx="3514725" cy="600075"/>
            <wp:effectExtent l="0" t="0" r="9525" b="952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</w:pPr>
      <w:r>
        <w:drawing>
          <wp:inline distT="0" distB="0" distL="114300" distR="114300">
            <wp:extent cx="5269865" cy="464185"/>
            <wp:effectExtent l="0" t="0" r="6985" b="1206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第二步，选择导入的表格，点击打开，完成数据采集。</w:t>
      </w:r>
    </w:p>
    <w:p>
      <w:pPr>
        <w:pStyle w:val="19"/>
        <w:bidi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979420"/>
            <wp:effectExtent l="0" t="0" r="6350" b="11430"/>
            <wp:docPr id="38" name="图片 38" descr="2022-05-11_170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2-05-11_1706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left="991" w:leftChars="0" w:hanging="991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房地产项目投资采集预览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数据采集完成后，可点击【预览】按钮，可预览指定明细数据生成的台账表数据，预览的台账数据系统不会进行保存在台账列表中。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895600" cy="533400"/>
            <wp:effectExtent l="0" t="0" r="0" b="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left="991" w:leftChars="0" w:hanging="991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房地产项目投资采集数据查询、新增、删除、清空与编辑</w:t>
      </w:r>
    </w:p>
    <w:p>
      <w:pPr>
        <w:pStyle w:val="18"/>
        <w:numPr>
          <w:ilvl w:val="0"/>
          <w:numId w:val="3"/>
        </w:numPr>
        <w:bidi w:val="0"/>
        <w:ind w:left="42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查询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系统支持根据项目名称/项目代码来查询【房地产项目投资采集】的数据信息。在查询框中输入项目名称，点击【查询】按钮，即可查询与该项目相关的统计台账数据信息。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057775" cy="619125"/>
            <wp:effectExtent l="0" t="0" r="9525" b="952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bidi w:val="0"/>
        <w:ind w:left="42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新增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第一步，点击【新增】按钮，跳转到新增房地产项目投资数据界面。</w:t>
      </w:r>
    </w:p>
    <w:p>
      <w:pPr>
        <w:pStyle w:val="19"/>
        <w:bidi w:val="0"/>
      </w:pPr>
      <w:r>
        <w:drawing>
          <wp:inline distT="0" distB="0" distL="114300" distR="114300">
            <wp:extent cx="3924300" cy="55245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第二步，点击【新增行】，可以新增一行数据。录入新增数据的内容后点击【提交】，完成新增房地产项目投资采集数据。</w:t>
      </w:r>
    </w:p>
    <w:p>
      <w:pPr>
        <w:pStyle w:val="19"/>
        <w:bidi w:val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055" cy="3620135"/>
            <wp:effectExtent l="0" t="0" r="1079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bidi w:val="0"/>
        <w:ind w:left="42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【房地产项目投资采集】的数据删除操作分为批量删除和单个删除两种方式。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批量删除：点击列表左侧【方框】打√，选中需要删除的数据后，点击数据列表上方【删除】按钮，在弹出的确认删除对话框中点击【确定】，批量删除所有选中的数据。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424940"/>
            <wp:effectExtent l="0" t="0" r="9525" b="381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单个删除：点击数据列表右侧【删除】按钮，在弹出的确认删除对话框中点击【确定】，即可删除该条数据信息。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609090"/>
            <wp:effectExtent l="0" t="0" r="7620" b="1016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bidi w:val="0"/>
        <w:ind w:left="42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清空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系统支持一键清空已采集的【房地产项目投资采集】数据。点击【清空】按钮，在弹出的确认对话框中点击【确定】，一键清空系统已采集的数据。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352800" cy="581025"/>
            <wp:effectExtent l="0" t="0" r="0" b="952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bidi w:val="0"/>
        <w:ind w:left="420" w:lef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编辑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系统支持对【房地产项目投资采集】的数据进行修改编辑。具体步骤如下：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第一步，进入编辑页：点击数据列表右侧【编辑】按钮，弹出编辑修改数据的界面。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565910"/>
            <wp:effectExtent l="0" t="0" r="5080" b="1524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第二步，修改数据：修改数据的内容。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第三步，提交修改：数据修改完成后，点击【提交】，在弹出的确认窗口中点击【确定】，完成指定数据内容的修改；或者点击【取消】，取消本次修改的操作。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1638300" cy="447675"/>
            <wp:effectExtent l="0" t="0" r="0" b="952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ind w:left="991" w:leftChars="0" w:hanging="991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查看修改记录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查看【房地产项目投资采集】数据的修改记录信息，记录信息包括了修改时间、修改内容和操作类型。点击【修改记录】，进入到查看修改记录查看页面。可选择【修改开始日期】和【修改结束日期】，来筛选查询修改记录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3467100" cy="571500"/>
            <wp:effectExtent l="0" t="0" r="0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372870"/>
            <wp:effectExtent l="0" t="0" r="8255" b="1778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default"/>
          <w:lang w:val="en-US" w:eastAsia="zh-CN"/>
        </w:rPr>
      </w:pPr>
      <w:bookmarkStart w:id="58" w:name="_Toc17597"/>
      <w:r>
        <w:rPr>
          <w:rFonts w:hint="eastAsia"/>
          <w:lang w:val="en-US" w:eastAsia="zh-CN"/>
        </w:rPr>
        <w:t>商品房签约备案明细采集</w:t>
      </w:r>
      <w:bookmarkEnd w:id="58"/>
    </w:p>
    <w:p>
      <w:pPr>
        <w:pStyle w:val="6"/>
        <w:bidi w:val="0"/>
        <w:ind w:left="850" w:leftChars="0" w:hanging="850" w:firstLineChars="0"/>
        <w:rPr>
          <w:rFonts w:hint="default"/>
          <w:lang w:val="en-US" w:eastAsia="zh-CN"/>
        </w:rPr>
      </w:pPr>
      <w:bookmarkStart w:id="59" w:name="_Toc22128"/>
      <w:r>
        <w:rPr>
          <w:rFonts w:hint="eastAsia"/>
          <w:lang w:val="en-US" w:eastAsia="zh-CN"/>
        </w:rPr>
        <w:t>业务及功能描述</w:t>
      </w:r>
      <w:bookmarkEnd w:id="59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用户登录系统后，在系统首页</w:t>
      </w:r>
      <w:r>
        <w:rPr>
          <w:rFonts w:hint="eastAsia"/>
          <w:lang w:val="en-US" w:eastAsia="zh-CN"/>
        </w:rPr>
        <w:t>依次</w:t>
      </w:r>
      <w:r>
        <w:rPr>
          <w:rFonts w:hint="default"/>
          <w:lang w:val="en-US" w:eastAsia="zh-CN"/>
        </w:rPr>
        <w:t>点击【</w:t>
      </w:r>
      <w:r>
        <w:rPr>
          <w:rFonts w:hint="eastAsia"/>
          <w:lang w:val="en-US" w:eastAsia="zh-CN"/>
        </w:rPr>
        <w:t>数据采集审核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→【数据采集】→【商品房签约备案明细采集】</w:t>
      </w:r>
      <w:r>
        <w:rPr>
          <w:rFonts w:hint="default"/>
          <w:lang w:val="en-US" w:eastAsia="zh-CN"/>
        </w:rPr>
        <w:t>，或者在系统左侧功能菜单依次点击【</w:t>
      </w:r>
      <w:r>
        <w:rPr>
          <w:rFonts w:hint="eastAsia"/>
          <w:lang w:val="en-US" w:eastAsia="zh-CN"/>
        </w:rPr>
        <w:t>房地产开发经营业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→【数据采集】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商品房签约备案明细采集</w:t>
      </w:r>
      <w:r>
        <w:rPr>
          <w:rFonts w:hint="default"/>
          <w:lang w:val="en-US" w:eastAsia="zh-CN"/>
        </w:rPr>
        <w:t>】，进入到【</w:t>
      </w:r>
      <w:r>
        <w:rPr>
          <w:rFonts w:hint="eastAsia"/>
          <w:lang w:val="en-US" w:eastAsia="zh-CN"/>
        </w:rPr>
        <w:t>商品房签约备案明细采集</w:t>
      </w:r>
      <w:r>
        <w:rPr>
          <w:rFonts w:hint="default"/>
          <w:lang w:val="en-US" w:eastAsia="zh-CN"/>
        </w:rPr>
        <w:t>】功能界面。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通过手动新增和Excel批量导入两种方式采集商品房签约备案明细采集数据。采集的数据内容包括了数据表名称、合同编号、项目名称、购房人、房屋地址（房号）、房屋总建筑面积、房屋类型（设计用途）、签约时间、成交总价、期房/现房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>广西企业电子统计台账系统</w:t>
      </w:r>
      <w:r>
        <w:rPr>
          <w:rFonts w:hint="eastAsia"/>
          <w:lang w:val="en-US" w:eastAsia="zh-CN"/>
        </w:rPr>
        <w:t>提供了商品房签约备案明细的Excel表格模板和数据采集默认模板，用户可下载表格模板填写数据后，一键导入到系统中。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969770"/>
            <wp:effectExtent l="0" t="0" r="3175" b="11430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ind w:left="850" w:leftChars="0" w:hanging="850" w:firstLineChars="0"/>
        <w:rPr>
          <w:rFonts w:hint="eastAsia"/>
          <w:lang w:val="en-US" w:eastAsia="zh-CN"/>
        </w:rPr>
      </w:pPr>
      <w:bookmarkStart w:id="60" w:name="_Toc18917"/>
      <w:bookmarkStart w:id="61" w:name="_Toc1058"/>
      <w:r>
        <w:rPr>
          <w:rFonts w:hint="eastAsia"/>
          <w:lang w:val="en-US" w:eastAsia="zh-CN"/>
        </w:rPr>
        <w:t>操作步骤</w:t>
      </w:r>
      <w:bookmarkEnd w:id="60"/>
      <w:bookmarkEnd w:id="61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商品房签约备案明细</w:t>
      </w:r>
      <w:r>
        <w:rPr>
          <w:rFonts w:hint="default"/>
          <w:lang w:val="en-US" w:eastAsia="zh-CN"/>
        </w:rPr>
        <w:t>采集】</w:t>
      </w:r>
      <w:r>
        <w:rPr>
          <w:rFonts w:hint="eastAsia"/>
          <w:lang w:val="en-US" w:eastAsia="zh-CN"/>
        </w:rPr>
        <w:t>的操作步骤与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房地产项目投资采集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的操作步骤一致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请参考“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REF _Ref23402 \n \h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4.1.1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REF _Ref23402 \h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房地产项目投资采集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章节</w:t>
      </w:r>
      <w:r>
        <w:rPr>
          <w:rFonts w:hint="eastAsia"/>
          <w:lang w:val="en-US" w:eastAsia="zh-CN"/>
        </w:rPr>
        <w:t>“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REF _Toc20037 \n \h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4.1.1.2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REF _Toc20037 \h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操作步骤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”小节的操作说明</w:t>
      </w:r>
      <w:r>
        <w:rPr>
          <w:rFonts w:hint="default"/>
          <w:lang w:val="en-US" w:eastAsia="zh-CN"/>
        </w:rPr>
        <w:t>。</w:t>
      </w:r>
    </w:p>
    <w:p>
      <w:pPr>
        <w:pStyle w:val="5"/>
        <w:bidi w:val="0"/>
        <w:ind w:left="709" w:leftChars="0" w:hanging="709" w:firstLineChars="0"/>
        <w:rPr>
          <w:rFonts w:hint="default"/>
          <w:lang w:val="en-US" w:eastAsia="zh-CN"/>
        </w:rPr>
      </w:pPr>
      <w:bookmarkStart w:id="62" w:name="_Toc8718"/>
      <w:r>
        <w:rPr>
          <w:rFonts w:hint="eastAsia"/>
          <w:lang w:val="en-US" w:eastAsia="zh-CN"/>
        </w:rPr>
        <w:t>资金土地账页采集</w:t>
      </w:r>
      <w:bookmarkEnd w:id="62"/>
    </w:p>
    <w:p>
      <w:pPr>
        <w:pStyle w:val="6"/>
        <w:bidi w:val="0"/>
        <w:ind w:left="850" w:leftChars="0" w:hanging="850" w:firstLineChars="0"/>
        <w:rPr>
          <w:rFonts w:hint="default"/>
          <w:lang w:val="en-US" w:eastAsia="zh-CN"/>
        </w:rPr>
      </w:pPr>
      <w:bookmarkStart w:id="63" w:name="_Toc21188"/>
      <w:r>
        <w:rPr>
          <w:rFonts w:hint="eastAsia"/>
          <w:lang w:val="en-US" w:eastAsia="zh-CN"/>
        </w:rPr>
        <w:t>业务及功能描述</w:t>
      </w:r>
      <w:bookmarkEnd w:id="63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用户登录系统后，在系统首页</w:t>
      </w:r>
      <w:r>
        <w:rPr>
          <w:rFonts w:hint="eastAsia"/>
          <w:lang w:val="en-US" w:eastAsia="zh-CN"/>
        </w:rPr>
        <w:t>依次</w:t>
      </w:r>
      <w:r>
        <w:rPr>
          <w:rFonts w:hint="default"/>
          <w:lang w:val="en-US" w:eastAsia="zh-CN"/>
        </w:rPr>
        <w:t>点击【</w:t>
      </w:r>
      <w:r>
        <w:rPr>
          <w:rFonts w:hint="eastAsia"/>
          <w:lang w:val="en-US" w:eastAsia="zh-CN"/>
        </w:rPr>
        <w:t>数据采集审核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→【数据采集】→【资金土地账页采集】</w:t>
      </w:r>
      <w:r>
        <w:rPr>
          <w:rFonts w:hint="default"/>
          <w:lang w:val="en-US" w:eastAsia="zh-CN"/>
        </w:rPr>
        <w:t>，或者在系统左侧功能菜单依次点击【</w:t>
      </w:r>
      <w:r>
        <w:rPr>
          <w:rFonts w:hint="eastAsia"/>
          <w:lang w:val="en-US" w:eastAsia="zh-CN"/>
        </w:rPr>
        <w:t>房地产开发经营业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→【数据采集】→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资金土地账页采集</w:t>
      </w:r>
      <w:r>
        <w:rPr>
          <w:rFonts w:hint="default"/>
          <w:lang w:val="en-US" w:eastAsia="zh-CN"/>
        </w:rPr>
        <w:t>】，进入到【</w:t>
      </w:r>
      <w:r>
        <w:rPr>
          <w:rFonts w:hint="eastAsia"/>
          <w:lang w:val="en-US" w:eastAsia="zh-CN"/>
        </w:rPr>
        <w:t>资金土地账页采集</w:t>
      </w:r>
      <w:r>
        <w:rPr>
          <w:rFonts w:hint="default"/>
          <w:lang w:val="en-US" w:eastAsia="zh-CN"/>
        </w:rPr>
        <w:t>】功能界面。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支持通过手动新增和Excel批量导入两种方式采集商品房签约备案明细采集数据。数据采集内容包括了数据表名称、时间、</w:t>
      </w:r>
      <w:r>
        <w:rPr>
          <w:rFonts w:hint="default"/>
          <w:lang w:val="en-US" w:eastAsia="zh-CN"/>
        </w:rPr>
        <w:t>上年末结余资金（万元）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本年实际到位资金（万元）</w:t>
      </w:r>
      <w:r>
        <w:rPr>
          <w:rFonts w:hint="eastAsia"/>
          <w:lang w:val="en-US" w:eastAsia="zh-CN"/>
        </w:rPr>
        <w:t>、国内贷款、其中：国内银行贷款、</w:t>
      </w:r>
      <w:r>
        <w:rPr>
          <w:rFonts w:hint="default"/>
          <w:lang w:val="en-US" w:eastAsia="zh-CN"/>
        </w:rPr>
        <w:t>国内非银行金融机构贷款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利用外资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自筹资金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定金及预收款</w:t>
      </w:r>
      <w:r>
        <w:rPr>
          <w:rFonts w:hint="eastAsia"/>
          <w:lang w:val="en-US" w:eastAsia="zh-CN"/>
        </w:rPr>
        <w:t>、个人按揭贷款、其它到位资金、</w:t>
      </w:r>
      <w:r>
        <w:rPr>
          <w:rFonts w:hint="default"/>
          <w:lang w:val="en-US" w:eastAsia="zh-CN"/>
        </w:rPr>
        <w:t>本年各项应付款合计（万元）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其中：工程款（万元）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待开发土地面积（平方米）</w:t>
      </w:r>
      <w:r>
        <w:rPr>
          <w:rFonts w:hint="eastAsia"/>
          <w:lang w:val="en-US" w:eastAsia="zh-CN"/>
        </w:rPr>
        <w:t>、本年土地购置面积（平方米）、本年土地成交款（万元）。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广西企业电子统计台账系统提供了资金土地账页采集的Excel表格模板和数据采集默认模板，用户可下载表格模板填写数据后，一键导入到系统中。</w:t>
      </w:r>
    </w:p>
    <w:p>
      <w:pPr>
        <w:pStyle w:val="6"/>
        <w:bidi w:val="0"/>
        <w:ind w:left="850" w:leftChars="0" w:hanging="850" w:firstLineChars="0"/>
        <w:rPr>
          <w:rFonts w:hint="eastAsia"/>
          <w:lang w:val="en-US" w:eastAsia="zh-CN"/>
        </w:rPr>
      </w:pPr>
      <w:bookmarkStart w:id="64" w:name="_Toc6527"/>
      <w:r>
        <w:rPr>
          <w:rFonts w:hint="eastAsia"/>
          <w:lang w:val="en-US" w:eastAsia="zh-CN"/>
        </w:rPr>
        <w:t>操作步骤</w:t>
      </w:r>
      <w:bookmarkEnd w:id="64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【资金土地账页采集】</w:t>
      </w:r>
      <w:r>
        <w:rPr>
          <w:rFonts w:hint="eastAsia"/>
          <w:lang w:val="en-US" w:eastAsia="zh-CN"/>
        </w:rPr>
        <w:t>的操作步骤与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房地产项目投资采集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的操作步骤一致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请参考“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REF _Ref23402 \n \h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4.1.1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REF _Ref23402 \h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房地产项目投资采集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章节</w:t>
      </w:r>
      <w:r>
        <w:rPr>
          <w:rFonts w:hint="eastAsia"/>
          <w:lang w:val="en-US" w:eastAsia="zh-CN"/>
        </w:rPr>
        <w:t>“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REF _Toc20037 \n \h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4.1.1.2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REF _Toc20037 \h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操作步骤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”小节的操作说明</w:t>
      </w:r>
      <w:r>
        <w:rPr>
          <w:rFonts w:hint="default"/>
          <w:lang w:val="en-US" w:eastAsia="zh-CN"/>
        </w:rPr>
        <w:t>。</w:t>
      </w:r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65" w:name="_Toc7429"/>
      <w:r>
        <w:rPr>
          <w:rFonts w:hint="eastAsia"/>
          <w:lang w:val="en-US" w:eastAsia="zh-CN"/>
        </w:rPr>
        <w:t>数据存档</w:t>
      </w:r>
      <w:bookmarkEnd w:id="65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 w:ascii="Times New Roman" w:eastAsia="宋体"/>
          <w:lang w:val="en-US" w:eastAsia="zh-CN"/>
        </w:rPr>
        <w:t>系统在生成电子台账时，会把【</w:t>
      </w:r>
      <w:r>
        <w:rPr>
          <w:rFonts w:hint="eastAsia" w:ascii="Times New Roman" w:eastAsia="宋体"/>
          <w:lang w:val="en-US" w:eastAsia="zh-CN"/>
        </w:rPr>
        <w:t>数据采集</w:t>
      </w:r>
      <w:r>
        <w:rPr>
          <w:rFonts w:hint="default" w:ascii="Times New Roman" w:eastAsia="宋体"/>
          <w:lang w:val="en-US" w:eastAsia="zh-CN"/>
        </w:rPr>
        <w:t>】</w:t>
      </w:r>
      <w:r>
        <w:rPr>
          <w:rFonts w:hint="eastAsia" w:ascii="Times New Roman" w:eastAsia="宋体"/>
          <w:lang w:val="en-US" w:eastAsia="zh-CN"/>
        </w:rPr>
        <w:t>里【房地产项目投资采集】、【商品房签约备案明细采集】、</w:t>
      </w:r>
      <w:r>
        <w:rPr>
          <w:rFonts w:hint="eastAsia"/>
          <w:lang w:val="en-US" w:eastAsia="zh-CN"/>
        </w:rPr>
        <w:t>【资金土地账页采集】</w:t>
      </w:r>
      <w:r>
        <w:rPr>
          <w:rFonts w:hint="default" w:ascii="Times New Roman" w:eastAsia="宋体"/>
          <w:lang w:val="en-US" w:eastAsia="zh-CN"/>
        </w:rPr>
        <w:t>的数据清空，并把数据</w:t>
      </w:r>
      <w:r>
        <w:rPr>
          <w:rFonts w:hint="eastAsia" w:ascii="Times New Roman" w:eastAsia="宋体"/>
          <w:lang w:val="en-US" w:eastAsia="zh-CN"/>
        </w:rPr>
        <w:t>分别</w:t>
      </w:r>
      <w:r>
        <w:rPr>
          <w:rFonts w:hint="default" w:ascii="Times New Roman" w:eastAsia="宋体"/>
          <w:lang w:val="en-US" w:eastAsia="zh-CN"/>
        </w:rPr>
        <w:t>转存到【</w:t>
      </w:r>
      <w:r>
        <w:rPr>
          <w:rFonts w:hint="eastAsia" w:ascii="Times New Roman" w:eastAsia="宋体"/>
          <w:lang w:val="en-US" w:eastAsia="zh-CN"/>
        </w:rPr>
        <w:t>数据存档</w:t>
      </w:r>
      <w:r>
        <w:rPr>
          <w:rFonts w:hint="default" w:ascii="Times New Roman" w:eastAsia="宋体"/>
          <w:lang w:val="en-US" w:eastAsia="zh-CN"/>
        </w:rPr>
        <w:t>】</w:t>
      </w:r>
      <w:r>
        <w:rPr>
          <w:rFonts w:hint="eastAsia" w:ascii="Times New Roman" w:eastAsia="宋体"/>
          <w:lang w:val="en-US" w:eastAsia="zh-CN"/>
        </w:rPr>
        <w:t>里【房地产项目投资存档】、【商品房签约备案明细存档】、</w:t>
      </w:r>
      <w:r>
        <w:rPr>
          <w:rFonts w:hint="eastAsia"/>
          <w:lang w:val="en-US" w:eastAsia="zh-CN"/>
        </w:rPr>
        <w:t>【资金土地账页</w:t>
      </w:r>
      <w:r>
        <w:rPr>
          <w:rFonts w:hint="eastAsia" w:ascii="Times New Roman" w:eastAsia="宋体"/>
          <w:lang w:val="en-US" w:eastAsia="zh-CN"/>
        </w:rPr>
        <w:t>存档</w:t>
      </w:r>
      <w:r>
        <w:rPr>
          <w:rFonts w:hint="eastAsia"/>
          <w:lang w:val="en-US" w:eastAsia="zh-CN"/>
        </w:rPr>
        <w:t>】</w:t>
      </w:r>
      <w:r>
        <w:rPr>
          <w:rFonts w:hint="default" w:ascii="Times New Roman" w:eastAsia="宋体"/>
          <w:lang w:val="en-US" w:eastAsia="zh-CN"/>
        </w:rPr>
        <w:t>，</w:t>
      </w:r>
      <w:r>
        <w:rPr>
          <w:rFonts w:hint="eastAsia" w:ascii="Times New Roman"/>
          <w:lang w:val="en-US" w:eastAsia="zh-CN"/>
        </w:rPr>
        <w:t>存档数据</w:t>
      </w:r>
      <w:r>
        <w:rPr>
          <w:rFonts w:hint="eastAsia" w:ascii="Times New Roman" w:eastAsia="宋体"/>
          <w:lang w:val="en-US" w:eastAsia="zh-CN"/>
        </w:rPr>
        <w:t>与生成的</w:t>
      </w:r>
      <w:r>
        <w:rPr>
          <w:rFonts w:hint="default" w:ascii="Times New Roman" w:eastAsia="宋体"/>
          <w:lang w:val="en-US" w:eastAsia="zh-CN"/>
        </w:rPr>
        <w:t>电子台账</w:t>
      </w:r>
      <w:r>
        <w:rPr>
          <w:rFonts w:hint="eastAsia" w:ascii="Times New Roman" w:eastAsia="宋体"/>
          <w:lang w:val="en-US" w:eastAsia="zh-CN"/>
        </w:rPr>
        <w:t>相互关联</w:t>
      </w:r>
      <w:r>
        <w:rPr>
          <w:rFonts w:hint="default" w:ascii="Times New Roman" w:eastAsia="宋体"/>
          <w:lang w:val="en-US" w:eastAsia="zh-CN"/>
        </w:rPr>
        <w:t>。</w:t>
      </w:r>
    </w:p>
    <w:p>
      <w:pPr>
        <w:pStyle w:val="5"/>
        <w:bidi w:val="0"/>
        <w:ind w:left="850" w:leftChars="0" w:hanging="85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业务及功能描述（以房地产项目投资存档为例）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存档主要是保存已经生成电子台账后的明细数据，用于对数据进行归档、溯源与核查。【房地产项目投资存档】、【商品房签约备案明细存档】、【资金土地账页存档】的系统功能与操作基本一致，以下用【房地产项目投资存档】为例，展示数据存档的系统功能与具体操作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用户登录系统后，在系统首页</w:t>
      </w:r>
      <w:r>
        <w:rPr>
          <w:rFonts w:hint="eastAsia"/>
          <w:lang w:val="en-US" w:eastAsia="zh-CN"/>
        </w:rPr>
        <w:t>依次</w:t>
      </w:r>
      <w:r>
        <w:rPr>
          <w:rFonts w:hint="default"/>
          <w:lang w:val="en-US" w:eastAsia="zh-CN"/>
        </w:rPr>
        <w:t>点击【</w:t>
      </w:r>
      <w:r>
        <w:rPr>
          <w:rFonts w:hint="eastAsia"/>
          <w:lang w:val="en-US" w:eastAsia="zh-CN"/>
        </w:rPr>
        <w:t>数据采集审核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→【数据存档】→【房地产项目投资存档】</w:t>
      </w:r>
      <w:r>
        <w:rPr>
          <w:rFonts w:hint="default"/>
          <w:lang w:val="en-US" w:eastAsia="zh-CN"/>
        </w:rPr>
        <w:t>，或者在系统左侧功能菜单依次点击【</w:t>
      </w:r>
      <w:r>
        <w:rPr>
          <w:rFonts w:hint="eastAsia"/>
          <w:lang w:val="en-US" w:eastAsia="zh-CN"/>
        </w:rPr>
        <w:t>房地产开发经营业</w:t>
      </w:r>
      <w:r>
        <w:rPr>
          <w:rFonts w:hint="default"/>
          <w:lang w:val="en-US" w:eastAsia="zh-CN"/>
        </w:rPr>
        <w:t>】→【</w:t>
      </w:r>
      <w:r>
        <w:rPr>
          <w:rFonts w:hint="eastAsia"/>
          <w:lang w:val="en-US" w:eastAsia="zh-CN"/>
        </w:rPr>
        <w:t>数据存档</w:t>
      </w:r>
      <w:r>
        <w:rPr>
          <w:rFonts w:hint="default"/>
          <w:lang w:val="en-US" w:eastAsia="zh-CN"/>
        </w:rPr>
        <w:t>】</w:t>
      </w:r>
      <w:r>
        <w:rPr>
          <w:rFonts w:hint="eastAsia"/>
          <w:lang w:val="en-US" w:eastAsia="zh-CN"/>
        </w:rPr>
        <w:t>→【房地产项目投资存档】</w:t>
      </w:r>
      <w:r>
        <w:rPr>
          <w:rFonts w:hint="default"/>
          <w:lang w:val="en-US" w:eastAsia="zh-CN"/>
        </w:rPr>
        <w:t>，进入到【</w:t>
      </w:r>
      <w:r>
        <w:rPr>
          <w:rFonts w:hint="eastAsia"/>
          <w:lang w:val="en-US" w:eastAsia="zh-CN"/>
        </w:rPr>
        <w:t>房地产项目投资存档</w:t>
      </w:r>
      <w:r>
        <w:rPr>
          <w:rFonts w:hint="default"/>
          <w:lang w:val="en-US" w:eastAsia="zh-CN"/>
        </w:rPr>
        <w:t>】功能界面。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用户可查阅【房地产项目投资存档】的数据详情，并支持对数据进行查询、导出的操作。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636395"/>
            <wp:effectExtent l="0" t="0" r="571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850" w:leftChars="0" w:hanging="85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操作步骤（以房地产项目投资存档为例）</w:t>
      </w:r>
    </w:p>
    <w:p>
      <w:pPr>
        <w:pStyle w:val="6"/>
        <w:bidi w:val="0"/>
        <w:ind w:left="991" w:leftChars="0" w:hanging="991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系统根据项目代码/项目名称、台账时间、所属台账、所属一套表来对存档的数据进行查询（支持组合查询）。在查询框中输入查询条件后，点击【查询】按钮，查询相关数据信息。</w:t>
      </w:r>
    </w:p>
    <w:p>
      <w:pPr>
        <w:pStyle w:val="19"/>
        <w:bidi w:val="0"/>
      </w:pPr>
      <w:r>
        <w:drawing>
          <wp:inline distT="0" distB="0" distL="114300" distR="114300">
            <wp:extent cx="5268595" cy="683260"/>
            <wp:effectExtent l="0" t="0" r="8255" b="25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ind w:left="991" w:leftChars="0" w:hanging="991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导出Excel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系统支持以excel表格的形式导出存档的数据。在导出数据之前，可先根据需要对存档数据进行筛选查询，然后点击【导出Excel】，在弹出的窗口选择导出的路径后，点击【保存】，完成数据的导出。</w:t>
      </w:r>
    </w:p>
    <w:p>
      <w:pPr>
        <w:jc w:val="center"/>
      </w:pPr>
      <w:r>
        <w:drawing>
          <wp:inline distT="0" distB="0" distL="114300" distR="114300">
            <wp:extent cx="2562225" cy="600075"/>
            <wp:effectExtent l="0" t="0" r="9525" b="9525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432300"/>
            <wp:effectExtent l="0" t="0" r="6985" b="6350"/>
            <wp:docPr id="9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6" w:name="_Toc11663"/>
      <w:bookmarkStart w:id="67" w:name="_Toc28329"/>
      <w:bookmarkStart w:id="68" w:name="_Toc21014"/>
    </w:p>
    <w:p>
      <w:pPr>
        <w:pStyle w:val="3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69" w:name="_Toc22536"/>
      <w:r>
        <w:rPr>
          <w:rFonts w:hint="eastAsia"/>
          <w:lang w:val="en-US" w:eastAsia="zh-CN"/>
        </w:rPr>
        <w:t>凭证管理</w:t>
      </w:r>
      <w:bookmarkEnd w:id="69"/>
    </w:p>
    <w:p>
      <w:pPr>
        <w:pStyle w:val="4"/>
        <w:bidi w:val="0"/>
        <w:rPr>
          <w:rFonts w:hint="eastAsia"/>
          <w:lang w:val="en-US" w:eastAsia="zh-CN"/>
        </w:rPr>
      </w:pPr>
      <w:bookmarkStart w:id="70" w:name="_Toc27942"/>
      <w:bookmarkStart w:id="71" w:name="_Toc30966"/>
      <w:r>
        <w:rPr>
          <w:rFonts w:hint="eastAsia"/>
          <w:lang w:eastAsia="zh-CN"/>
        </w:rPr>
        <w:t>业务及功能描述</w:t>
      </w:r>
      <w:bookmarkEnd w:id="70"/>
      <w:bookmarkEnd w:id="71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用户登录系统后，在系统左侧功能菜单点击【凭证管理】，进入到【凭证管理】功能界面。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用户可把生成电子台账与报表的凭证材料，上传到系统中进行保存，并与台账、报表进行关联，以便对电子台账、电子报表数据的原始凭证进行核查。</w: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182370"/>
            <wp:effectExtent l="0" t="0" r="8255" b="1778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72" w:name="_Toc29412"/>
      <w:bookmarkStart w:id="73" w:name="_Toc3384"/>
      <w:r>
        <w:rPr>
          <w:rFonts w:hint="eastAsia"/>
          <w:lang w:val="en-US" w:eastAsia="zh-CN"/>
        </w:rPr>
        <w:t>操作步骤</w:t>
      </w:r>
      <w:bookmarkEnd w:id="72"/>
      <w:bookmarkEnd w:id="73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凭证管理支持查询、新增、删除、编辑操作。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新增凭证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第一步，点击“新增”按钮，跳转到新增凭证界面。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057525" cy="600075"/>
            <wp:effectExtent l="0" t="0" r="9525" b="952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第二步，选择关联的台账、报表（可以选择多个台账或者报表）。点击上传按钮，选择上传的凭证文件，点击打开，完成上传。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76825" cy="3400425"/>
            <wp:effectExtent l="0" t="0" r="9525" b="9525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第三步，点击“提交”，完成凭证文件的添加，或者点击“取消”，取消本次操作。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14525" cy="514350"/>
            <wp:effectExtent l="0" t="0" r="9525" b="0"/>
            <wp:docPr id="4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编辑凭证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第一步，点击“编辑”按钮，跳转到编辑界面。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529455" cy="1080135"/>
            <wp:effectExtent l="0" t="0" r="4445" b="571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bidi w:val="0"/>
        <w:spacing w:before="100" w:beforeLines="100" w:after="100" w:afterLines="100" w:line="360" w:lineRule="exact"/>
        <w:ind w:firstLine="420" w:firstLineChars="200"/>
        <w:jc w:val="both"/>
        <w:rPr>
          <w:rFonts w:hint="default" w:eastAsia="宋体" w:cs="宋体" w:asciiTheme="minorAscii" w:hAnsiTheme="minorAscii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第二步，编辑凭证管理信息。</w:t>
      </w:r>
    </w:p>
    <w:p>
      <w:pPr>
        <w:widowControl w:val="0"/>
        <w:bidi w:val="0"/>
        <w:spacing w:before="100" w:beforeLines="100" w:after="100" w:afterLines="100" w:line="360" w:lineRule="exact"/>
        <w:ind w:firstLine="420" w:firstLineChars="200"/>
        <w:jc w:val="both"/>
        <w:rPr>
          <w:rFonts w:hint="default" w:cs="宋体" w:asciiTheme="minorAscii" w:hAnsiTheme="minorAscii" w:eastAsiaTheme="minorEastAsia"/>
          <w:kern w:val="2"/>
          <w:sz w:val="21"/>
          <w:szCs w:val="21"/>
          <w:lang w:val="en-US" w:eastAsia="zh-CN" w:bidi="ar-SA"/>
        </w:rPr>
      </w:pP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第三步，点击“提交”完成编辑，或者点击“取消”，取消本次操作。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914525" cy="514350"/>
            <wp:effectExtent l="0" t="0" r="9525" b="0"/>
            <wp:docPr id="6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删除凭证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一、批量删除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在凭证列表左侧勾选多个需要删除的凭证信息，点击凭证列表上端“删除”按钮，确定后批量删除选定的所有凭证信息。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831340"/>
            <wp:effectExtent l="0" t="0" r="7620" b="16510"/>
            <wp:docPr id="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二、单个删除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点击凭证列表右侧“删除”按钮，确定后删除该条凭证信息。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814195"/>
            <wp:effectExtent l="0" t="0" r="2540" b="14605"/>
            <wp:docPr id="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凭证查询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在凭证查询框中输入关键信息，点击“查询”按钮，查询凭证信息。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685165"/>
            <wp:effectExtent l="0" t="0" r="6350" b="635"/>
            <wp:docPr id="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凭证下载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一、批量下载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在凭证列表左侧勾选多个需要下载的凭证信息，点击凭证列表上端“批量下载”按钮，确定后批量下载选定的所有凭证材料。</w:t>
      </w:r>
    </w:p>
    <w:p>
      <w:pPr>
        <w:jc w:val="center"/>
      </w:pPr>
      <w:r>
        <w:drawing>
          <wp:inline distT="0" distB="0" distL="114300" distR="114300">
            <wp:extent cx="5271135" cy="1874520"/>
            <wp:effectExtent l="0" t="0" r="5715" b="11430"/>
            <wp:docPr id="8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二、单个下载</w:t>
      </w:r>
    </w:p>
    <w:p>
      <w:pPr>
        <w:pStyle w:val="18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点击凭证列表右侧“下载”按钮，确定后下载该条凭证材料。</w: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158875"/>
            <wp:effectExtent l="0" t="0" r="7620" b="3175"/>
            <wp:docPr id="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74" w:name="_Toc25726"/>
      <w:r>
        <w:rPr>
          <w:rFonts w:hint="eastAsia"/>
          <w:lang w:val="en-US" w:eastAsia="zh-CN"/>
        </w:rPr>
        <w:t>电子</w:t>
      </w:r>
      <w:r>
        <w:rPr>
          <w:rFonts w:hint="eastAsia"/>
          <w:lang w:eastAsia="zh-CN"/>
        </w:rPr>
        <w:t>台账</w:t>
      </w:r>
      <w:bookmarkEnd w:id="66"/>
      <w:bookmarkEnd w:id="67"/>
      <w:bookmarkEnd w:id="68"/>
      <w:bookmarkEnd w:id="74"/>
    </w:p>
    <w:p>
      <w:pPr>
        <w:pStyle w:val="4"/>
        <w:bidi w:val="0"/>
        <w:ind w:left="567" w:leftChars="0" w:hanging="567" w:firstLineChars="0"/>
        <w:rPr>
          <w:rFonts w:hint="eastAsia"/>
          <w:lang w:eastAsia="zh-CN"/>
        </w:rPr>
      </w:pPr>
      <w:bookmarkStart w:id="75" w:name="_Toc1867"/>
      <w:bookmarkStart w:id="76" w:name="_Toc5962"/>
      <w:bookmarkStart w:id="77" w:name="_Toc17689"/>
      <w:bookmarkStart w:id="78" w:name="_Toc1353"/>
      <w:bookmarkStart w:id="79" w:name="_Toc30460"/>
      <w:r>
        <w:rPr>
          <w:rFonts w:hint="eastAsia"/>
          <w:lang w:eastAsia="zh-CN"/>
        </w:rPr>
        <w:t>业务及功能描述</w:t>
      </w:r>
      <w:bookmarkEnd w:id="75"/>
      <w:bookmarkEnd w:id="76"/>
      <w:bookmarkEnd w:id="77"/>
      <w:bookmarkEnd w:id="78"/>
      <w:bookmarkEnd w:id="79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用户登录系统后，在系统首页点击【电子台账】，或者在系统左侧功能菜单点击【电子台账】，进入到【电子台账】功能界面。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月度生成电子台账，根据【房地产项目投资采集】的数据生成【房地产开发项目投资完成情况统计台账】，【商品房签约备案明细采集】的数据生成【商品房签约备案台账】，【资金土地账页采集】的数据生成【资金土地账页】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广西企业电子统计台账系统在生成某个月度的电子台账后，系统会清空【数据采集】中的对应月度的数据，并把数据转存至【数据存档】中。【数据存档】中的数据和生成的电子台账存在互相对应的关系。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支持同一个月份生成多份【电子台账】，系统通过台账名称来区别不同的电子台账记录。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348105"/>
            <wp:effectExtent l="0" t="0" r="2540" b="4445"/>
            <wp:docPr id="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80" w:name="_Toc26121"/>
      <w:bookmarkStart w:id="81" w:name="_Toc27961"/>
      <w:bookmarkStart w:id="82" w:name="_Toc30845"/>
      <w:bookmarkStart w:id="83" w:name="_Toc14654"/>
      <w:r>
        <w:rPr>
          <w:rFonts w:hint="eastAsia"/>
          <w:lang w:val="en-US" w:eastAsia="zh-CN"/>
        </w:rPr>
        <w:t>操作步骤</w:t>
      </w:r>
      <w:bookmarkEnd w:id="80"/>
      <w:bookmarkEnd w:id="81"/>
      <w:bookmarkEnd w:id="82"/>
      <w:bookmarkEnd w:id="83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系统支持预览台账、生成电子台账、查询、删除、修改等操作。</w:t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84" w:name="_Toc2385"/>
      <w:r>
        <w:rPr>
          <w:rFonts w:hint="eastAsia"/>
          <w:lang w:val="en-US" w:eastAsia="zh-CN"/>
        </w:rPr>
        <w:t>生成电子台账</w:t>
      </w:r>
      <w:bookmarkEnd w:id="84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生成某个月份的电子台账前，要确认【数据采集】中存在该月份的数据。具体操作步骤如下：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第一步，进入系统电子台账界面，点击【生成电子台账】，弹出生成电子台账的窗口。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752850" cy="561975"/>
            <wp:effectExtent l="0" t="0" r="0" b="9525"/>
            <wp:docPr id="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第二步，选择生成电子台账的月份。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432560"/>
            <wp:effectExtent l="0" t="0" r="6985" b="15240"/>
            <wp:docPr id="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第三步，点击【生成】，生成所选月份的电子台账；或者点击【关闭】，取消电子台账的生成。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预览台账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点击“预览台账”按钮，跳转到生成预览台账功能界面。可在生成正式台账前，预览和检查电子台账数据。生成预览台账的基本操作与生成电子台账一致。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3571875" cy="533400"/>
            <wp:effectExtent l="0" t="0" r="9525" b="0"/>
            <wp:docPr id="9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551305"/>
            <wp:effectExtent l="0" t="0" r="3810" b="10795"/>
            <wp:docPr id="9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85" w:name="_Toc10362"/>
      <w:r>
        <w:rPr>
          <w:rFonts w:hint="eastAsia"/>
          <w:lang w:val="en-US" w:eastAsia="zh-CN"/>
        </w:rPr>
        <w:t>查询电子台账</w:t>
      </w:r>
      <w:bookmarkEnd w:id="85"/>
    </w:p>
    <w:p>
      <w:pPr>
        <w:pStyle w:val="18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系统支持根据名称和月份来查询电子台账信息。在查询框中输入查询的关键字，然后点击【查询】按钮，根据查询条件来筛选需要的电子台账记录信息。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390525"/>
            <wp:effectExtent l="0" t="0" r="2540" b="9525"/>
            <wp:docPr id="9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86" w:name="_Toc18756"/>
      <w:r>
        <w:rPr>
          <w:rFonts w:hint="eastAsia"/>
          <w:lang w:val="en-US" w:eastAsia="zh-CN"/>
        </w:rPr>
        <w:t>查看与导出电子台账</w:t>
      </w:r>
      <w:bookmarkEnd w:id="86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点击电子台账的名称，可查看这个电子台账的详情。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302385"/>
            <wp:effectExtent l="0" t="0" r="5080" b="12065"/>
            <wp:docPr id="9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在查看电子台账详情界面，点击【导出Excel】，选择导出的路径后，点击【保存】，可以把该电子台账导出到本地电脑。</w:t>
      </w:r>
    </w:p>
    <w:p>
      <w:pPr>
        <w:jc w:val="center"/>
      </w:pPr>
      <w:r>
        <w:drawing>
          <wp:inline distT="0" distB="0" distL="114300" distR="114300">
            <wp:extent cx="5269865" cy="581660"/>
            <wp:effectExtent l="0" t="0" r="6985" b="8890"/>
            <wp:docPr id="10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87" w:name="_Toc21123"/>
      <w:r>
        <w:rPr>
          <w:rFonts w:hint="eastAsia"/>
          <w:lang w:val="en-US" w:eastAsia="zh-CN"/>
        </w:rPr>
        <w:t>删除电子台账</w:t>
      </w:r>
      <w:bookmarkEnd w:id="87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删除电子台账分为批量删除和单个删除两种方式，删除电子台账时与之对应的电子报表会被同步删除。可在回收站中查看被删除的电子台账，回收站的数据可以还原，不可清空。</w:t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批量删除：点击列表左侧【方框】打√，选中需要删除的数据后，点击数据列表上方【删除】按钮，在弹出的确认删除对话框中点击【确定】，批量删除所有选中的电子台账到回收站中。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495425"/>
            <wp:effectExtent l="0" t="0" r="10160" b="9525"/>
            <wp:docPr id="10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bookmarkStart w:id="88" w:name="_Toc31806"/>
      <w:bookmarkStart w:id="89" w:name="_Toc24058"/>
      <w:r>
        <w:rPr>
          <w:rFonts w:hint="eastAsia"/>
          <w:lang w:val="en-US" w:eastAsia="zh-CN"/>
        </w:rPr>
        <w:t>单个删除：点击电子台账列表右侧【删除】按钮，在弹出的确认删除对话框中点击【确定】，删除该条电子台账到回收站中。</w:t>
      </w:r>
    </w:p>
    <w:p>
      <w:pPr>
        <w:jc w:val="center"/>
      </w:pPr>
      <w:r>
        <w:drawing>
          <wp:inline distT="0" distB="0" distL="114300" distR="114300">
            <wp:extent cx="4924425" cy="1285875"/>
            <wp:effectExtent l="0" t="0" r="9525" b="9525"/>
            <wp:docPr id="10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生成采集数据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点击生成采集数据，把生成电子台账的明细数据，作为新采集的数据恢复到数据采集中。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33950" cy="1295400"/>
            <wp:effectExtent l="0" t="0" r="0" b="0"/>
            <wp:docPr id="10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425" w:leftChars="0" w:hanging="425" w:firstLineChars="0"/>
        <w:rPr>
          <w:rFonts w:hint="default"/>
          <w:lang w:val="en-US" w:eastAsia="zh-CN"/>
        </w:rPr>
      </w:pPr>
      <w:bookmarkStart w:id="90" w:name="_Toc164"/>
      <w:bookmarkStart w:id="91" w:name="_Toc32049"/>
      <w:r>
        <w:rPr>
          <w:rFonts w:hint="eastAsia"/>
          <w:lang w:val="en-US" w:eastAsia="zh-CN"/>
        </w:rPr>
        <w:t>电子报表</w:t>
      </w:r>
      <w:bookmarkEnd w:id="88"/>
      <w:bookmarkEnd w:id="89"/>
      <w:bookmarkEnd w:id="90"/>
      <w:bookmarkEnd w:id="91"/>
    </w:p>
    <w:p>
      <w:pPr>
        <w:pStyle w:val="4"/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92" w:name="_Toc12952"/>
      <w:bookmarkStart w:id="93" w:name="_Toc32308"/>
      <w:bookmarkStart w:id="94" w:name="_Toc19413"/>
      <w:bookmarkStart w:id="95" w:name="_Toc26976"/>
      <w:r>
        <w:rPr>
          <w:rFonts w:hint="eastAsia"/>
          <w:lang w:val="en-US" w:eastAsia="zh-CN"/>
        </w:rPr>
        <w:t>业务及功能描述</w:t>
      </w:r>
      <w:bookmarkEnd w:id="92"/>
      <w:bookmarkEnd w:id="93"/>
      <w:bookmarkEnd w:id="94"/>
      <w:bookmarkEnd w:id="95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用户登录系统后，在系统首页点击【电子报表】，或者在系统左侧功能菜单点击【电子报表】，进入到【电子报表】功能界面。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根据月度最新的【房地产开发项目投资完成情况统计台账】和【商品房签约备案台账】生成当月的【房地产开发项目经营情况】表；根据月度最新的【资金土地账页】生成当月的【资金土地账页汇总表】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支持同一个月份生成多份电子报表，系统通过报表名称来区别不同的电子报表记录，并且不同的电子报表对应不同的电子台账。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410335"/>
            <wp:effectExtent l="0" t="0" r="2540" b="18415"/>
            <wp:docPr id="10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96" w:name="_Toc23014"/>
      <w:bookmarkStart w:id="97" w:name="_Toc3948"/>
      <w:bookmarkStart w:id="98" w:name="_Toc22254"/>
      <w:bookmarkStart w:id="99" w:name="_Toc13358"/>
      <w:r>
        <w:rPr>
          <w:rFonts w:hint="eastAsia"/>
          <w:lang w:val="en-US" w:eastAsia="zh-CN"/>
        </w:rPr>
        <w:t>操作步骤</w:t>
      </w:r>
      <w:bookmarkEnd w:id="96"/>
      <w:bookmarkEnd w:id="97"/>
      <w:bookmarkEnd w:id="98"/>
      <w:bookmarkEnd w:id="99"/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100" w:name="_Toc5611"/>
      <w:r>
        <w:rPr>
          <w:rFonts w:hint="eastAsia"/>
          <w:lang w:val="en-US" w:eastAsia="zh-CN"/>
        </w:rPr>
        <w:t>生成电子报表</w:t>
      </w:r>
      <w:bookmarkEnd w:id="100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成某个月份的电子报表前，要先生成该月份的【电子台账】。</w:t>
      </w:r>
      <w:r>
        <w:rPr>
          <w:rFonts w:hint="eastAsia"/>
          <w:color w:val="auto"/>
          <w:lang w:val="en-US" w:eastAsia="zh-CN"/>
        </w:rPr>
        <w:t>生成电子报表的具体操作步骤如下：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第一步，进入电子报表界面，点击【生成电子报表】，弹出生成电子报表的窗口。</w:t>
      </w:r>
    </w:p>
    <w:p>
      <w:pPr>
        <w:pStyle w:val="19"/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57625" cy="514350"/>
            <wp:effectExtent l="0" t="0" r="9525" b="0"/>
            <wp:docPr id="10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第二步，选择生成电子报表的月份。点击【生成】，生成所选月份/年份的电子报表；或者点击【关闭】，取消电子报表的生成。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667125" cy="1781175"/>
            <wp:effectExtent l="0" t="0" r="9525" b="9525"/>
            <wp:docPr id="11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101" w:name="_Toc20420"/>
      <w:r>
        <w:rPr>
          <w:rFonts w:hint="eastAsia"/>
          <w:lang w:val="en-US" w:eastAsia="zh-CN"/>
        </w:rPr>
        <w:t>查询电子报表</w:t>
      </w:r>
      <w:bookmarkEnd w:id="101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系统支持根据名称和日期来查询电子报表信息。在查询框中输入查询的关键字，然后点击【查询】按钮，根据查询条件来筛选需要的电子报表记录信息。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417195"/>
            <wp:effectExtent l="0" t="0" r="6350" b="1905"/>
            <wp:docPr id="11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4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09" w:leftChars="0" w:hanging="709" w:firstLineChars="0"/>
        <w:rPr>
          <w:rFonts w:hint="default"/>
          <w:lang w:val="en-US" w:eastAsia="zh-CN"/>
        </w:rPr>
      </w:pPr>
      <w:bookmarkStart w:id="102" w:name="_Toc3438"/>
      <w:r>
        <w:rPr>
          <w:rFonts w:hint="eastAsia"/>
          <w:lang w:val="en-US" w:eastAsia="zh-CN"/>
        </w:rPr>
        <w:t>查看、修改与导出电子报表</w:t>
      </w:r>
      <w:bookmarkEnd w:id="102"/>
    </w:p>
    <w:p>
      <w:pPr>
        <w:pStyle w:val="18"/>
        <w:numPr>
          <w:ilvl w:val="0"/>
          <w:numId w:val="4"/>
        </w:numPr>
        <w:bidi w:val="0"/>
        <w:ind w:left="42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查看、修改与单个导出电子报表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第一，查看电子报表详情：点击电子报表的名称，可查看这个电子报表的详情。对不符合审核关系的指标数据，系统会进行提醒。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078865"/>
            <wp:effectExtent l="0" t="0" r="3175" b="6985"/>
            <wp:docPr id="11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bidi w:val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899410"/>
            <wp:effectExtent l="0" t="0" r="10160" b="15240"/>
            <wp:docPr id="1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第二，导出电子报表：在查看电子报表详情界面，点击【导出Excel】，在弹出的窗口中选择导出的路径后，点击【保存】，可以把【电子报表】导出到本地电脑。</w:t>
      </w:r>
    </w:p>
    <w:p>
      <w:pPr>
        <w:pStyle w:val="19"/>
        <w:bidi w:val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191000" cy="571500"/>
            <wp:effectExtent l="0" t="0" r="0" b="0"/>
            <wp:docPr id="1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修改电子报表：在查看电子报表详情界面，点击【修改】，电子报表变为可编辑状态，可以对电子报表的数据进行修改完善。修改完成后点击【保存】，继续填写修改原因后点击【确认】，完成对电子报表的修改；或者点击【取消】，取消本次修改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609850" cy="647700"/>
            <wp:effectExtent l="0" t="0" r="0" b="0"/>
            <wp:docPr id="12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57675" cy="3460115"/>
            <wp:effectExtent l="0" t="0" r="9525" b="6985"/>
            <wp:docPr id="1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4"/>
        </w:numPr>
        <w:bidi w:val="0"/>
        <w:ind w:left="420" w:leftChars="0" w:firstLine="0" w:firstLineChars="0"/>
      </w:pPr>
      <w:r>
        <w:rPr>
          <w:rFonts w:hint="eastAsia"/>
          <w:b/>
          <w:bCs/>
          <w:lang w:val="en-US" w:eastAsia="zh-CN"/>
        </w:rPr>
        <w:t>批量导出</w:t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系统支持以压缩包的形式，一次性批量导出多个电子报表（解压后电子报表为Excel表格）。具体步骤如下：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第一步，选中需要导出的电子报表：点击电子报表名称左侧的【方框】打√，选中需要导出的电子报表。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329055"/>
            <wp:effectExtent l="0" t="0" r="2540" b="4445"/>
            <wp:docPr id="67" name="图片 67" descr="16522880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652288025(1)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第二步，导出电子报表：点击【批量导出】，在弹出的窗口选择导出的路径后，点击【保存】，即可把电子报表批量导出到本地电脑。</w:t>
      </w:r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bookmarkStart w:id="103" w:name="_Toc13308"/>
      <w:r>
        <w:rPr>
          <w:rFonts w:hint="eastAsia"/>
          <w:lang w:val="en-US" w:eastAsia="zh-CN"/>
        </w:rPr>
        <w:t>删除电子报表</w:t>
      </w:r>
      <w:bookmarkEnd w:id="103"/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删除电子报表分为批量删除和单个删除两种方式，删除电子报表时与之对应的电子台账会被同步删除。可在回收站中查看被删除的电子报表，回收站的数据可以还原，不可清空。</w:t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批量删除：点击电子报表列表左侧【方框】打√，选中需要删除的数据后，点击列表上方【删除】按钮，在弹出的确认删除对话框中点击【确定】，即可批量删除所有选中的电子报表到回收站中。</w:t>
      </w:r>
    </w:p>
    <w:p>
      <w:pPr>
        <w:jc w:val="center"/>
      </w:pPr>
      <w:r>
        <w:drawing>
          <wp:inline distT="0" distB="0" distL="114300" distR="114300">
            <wp:extent cx="5271135" cy="1787525"/>
            <wp:effectExtent l="0" t="0" r="5715" b="3175"/>
            <wp:docPr id="11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单个删除：点击电子报表列表右侧【删除】按钮，在弹出的确认删除对话框中点击【确定】，删除该条电子报表到回收站中。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76825" cy="1543050"/>
            <wp:effectExtent l="0" t="0" r="9525" b="0"/>
            <wp:docPr id="11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425" w:leftChars="0" w:hanging="425" w:firstLineChars="0"/>
        <w:rPr>
          <w:rFonts w:hint="default"/>
          <w:lang w:val="en-US" w:eastAsia="zh-CN"/>
        </w:rPr>
      </w:pPr>
      <w:bookmarkStart w:id="104" w:name="_Toc11745"/>
      <w:bookmarkStart w:id="105" w:name="_Toc32287"/>
      <w:bookmarkStart w:id="106" w:name="_Toc16228"/>
      <w:r>
        <w:rPr>
          <w:rFonts w:hint="eastAsia"/>
          <w:lang w:val="en-US" w:eastAsia="zh-CN"/>
        </w:rPr>
        <w:t>回收站</w:t>
      </w:r>
      <w:bookmarkEnd w:id="104"/>
      <w:bookmarkEnd w:id="105"/>
      <w:bookmarkEnd w:id="106"/>
    </w:p>
    <w:p>
      <w:pPr>
        <w:pStyle w:val="4"/>
        <w:bidi w:val="0"/>
        <w:ind w:left="567" w:leftChars="0" w:hanging="567" w:firstLineChars="0"/>
        <w:rPr>
          <w:rFonts w:hint="eastAsia"/>
          <w:lang w:val="en-US" w:eastAsia="zh-CN"/>
        </w:rPr>
      </w:pPr>
      <w:bookmarkStart w:id="107" w:name="_Toc4357"/>
      <w:bookmarkStart w:id="108" w:name="_Toc20182"/>
      <w:bookmarkStart w:id="109" w:name="_Toc19922"/>
      <w:r>
        <w:rPr>
          <w:rFonts w:hint="eastAsia"/>
          <w:lang w:val="en-US" w:eastAsia="zh-CN"/>
        </w:rPr>
        <w:t>业务及功能描述</w:t>
      </w:r>
      <w:bookmarkEnd w:id="107"/>
      <w:bookmarkEnd w:id="108"/>
      <w:bookmarkEnd w:id="109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用户登录系统后，在系统左侧功能菜单点击【回收站】，进入到【回收站】功能界面。</w:t>
      </w:r>
    </w:p>
    <w:p>
      <w:pPr>
        <w:pStyle w:val="18"/>
        <w:bidi w:val="0"/>
        <w:rPr>
          <w:rFonts w:hint="eastAsia" w:cs="宋体"/>
          <w:kern w:val="2"/>
          <w:sz w:val="21"/>
          <w:szCs w:val="21"/>
          <w:lang w:val="en-US" w:eastAsia="zh-CN" w:bidi="ar-SA"/>
        </w:rPr>
      </w:pPr>
      <w:r>
        <w:rPr>
          <w:rFonts w:hint="eastAsia"/>
          <w:lang w:val="en-US" w:eastAsia="zh-CN"/>
        </w:rPr>
        <w:t>广西企业电子统计台账系统【回收站】存储的是被用户删除的电子台账与电子报表。</w:t>
      </w: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回收站的数据可还原，但回收站内数据不可</w:t>
      </w:r>
      <w:r>
        <w:rPr>
          <w:rFonts w:hint="eastAsia" w:cs="宋体"/>
          <w:kern w:val="2"/>
          <w:sz w:val="21"/>
          <w:szCs w:val="21"/>
          <w:lang w:val="en-US" w:eastAsia="zh-CN" w:bidi="ar-SA"/>
        </w:rPr>
        <w:t>再</w:t>
      </w:r>
      <w:r>
        <w:rPr>
          <w:rFonts w:hint="eastAsia" w:eastAsia="宋体" w:cs="宋体" w:asciiTheme="minorAscii" w:hAnsiTheme="minorAscii"/>
          <w:kern w:val="2"/>
          <w:sz w:val="21"/>
          <w:szCs w:val="21"/>
          <w:lang w:val="en-US" w:eastAsia="zh-CN" w:bidi="ar-SA"/>
        </w:rPr>
        <w:t>删除，不可清空</w:t>
      </w:r>
      <w:r>
        <w:rPr>
          <w:rFonts w:hint="eastAsia" w:cs="宋体"/>
          <w:kern w:val="2"/>
          <w:sz w:val="21"/>
          <w:szCs w:val="21"/>
          <w:lang w:val="en-US" w:eastAsia="zh-CN" w:bidi="ar-SA"/>
        </w:rPr>
        <w:t>。</w:t>
      </w:r>
    </w:p>
    <w:p>
      <w:pPr>
        <w:pStyle w:val="19"/>
        <w:bidi w:val="0"/>
        <w:rPr>
          <w:rFonts w:hint="eastAsia" w:cs="宋体"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5264150" cy="1319530"/>
            <wp:effectExtent l="0" t="0" r="12700" b="13970"/>
            <wp:docPr id="11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10" w:name="_Toc17494"/>
      <w:bookmarkStart w:id="111" w:name="_Toc24315"/>
      <w:bookmarkStart w:id="112" w:name="_Toc31110"/>
      <w:r>
        <w:rPr>
          <w:rFonts w:hint="eastAsia"/>
          <w:lang w:val="en-US" w:eastAsia="zh-CN"/>
        </w:rPr>
        <w:t>操作步骤</w:t>
      </w:r>
      <w:bookmarkEnd w:id="110"/>
      <w:bookmarkEnd w:id="111"/>
      <w:bookmarkEnd w:id="112"/>
    </w:p>
    <w:p>
      <w:pPr>
        <w:pStyle w:val="5"/>
        <w:bidi w:val="0"/>
        <w:ind w:left="709" w:leftChars="0" w:hanging="709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还原电子台账或电子报表</w:t>
      </w:r>
    </w:p>
    <w:p>
      <w:pPr>
        <w:pStyle w:val="18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还原电子台账或电子报表，分为批量还原和单个还原两种方式。</w:t>
      </w:r>
      <w:r>
        <w:rPr>
          <w:rFonts w:hint="eastAsia"/>
          <w:color w:val="auto"/>
          <w:lang w:val="en-US" w:eastAsia="zh-CN"/>
        </w:rPr>
        <w:t>具体操作步骤如下：</w:t>
      </w:r>
    </w:p>
    <w:p>
      <w:pPr>
        <w:pStyle w:val="18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首先，选择需要还原电子台账或电子报表类型。</w:t>
      </w:r>
    </w:p>
    <w:p>
      <w:pPr>
        <w:pStyle w:val="19"/>
        <w:bidi w:val="0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266690" cy="343535"/>
            <wp:effectExtent l="0" t="0" r="10160" b="18415"/>
            <wp:docPr id="11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批量还原：点击列表左侧【方框】打√，选中需要还原的数据后，点击列表上方【还原】按钮，在弹出的确认还原对话框中点击【确定】，批量还原所有</w:t>
      </w:r>
      <w:r>
        <w:rPr>
          <w:rFonts w:hint="eastAsia"/>
          <w:color w:val="auto"/>
          <w:lang w:val="en-US" w:eastAsia="zh-CN"/>
        </w:rPr>
        <w:t>选中</w:t>
      </w:r>
      <w:r>
        <w:rPr>
          <w:rFonts w:hint="eastAsia"/>
          <w:lang w:val="en-US" w:eastAsia="zh-CN"/>
        </w:rPr>
        <w:t>的电子台账或报表。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442720"/>
            <wp:effectExtent l="0" t="0" r="5080" b="5080"/>
            <wp:docPr id="1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单个还原：点击数据列表右侧【还原】按钮，在弹出的确认还原对话框中点击【确定】，还原该条的电子台账或电子报表。</w:t>
      </w:r>
    </w:p>
    <w:p>
      <w:pPr>
        <w:pStyle w:val="19"/>
        <w:bidi w:val="0"/>
      </w:pPr>
      <w:r>
        <w:drawing>
          <wp:inline distT="0" distB="0" distL="114300" distR="114300">
            <wp:extent cx="5271135" cy="1347470"/>
            <wp:effectExtent l="0" t="0" r="5715" b="5080"/>
            <wp:docPr id="12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113" w:name="_Toc22027"/>
      <w:bookmarkStart w:id="114" w:name="_Toc6079"/>
      <w:bookmarkStart w:id="115" w:name="_Toc31707"/>
      <w:r>
        <w:rPr>
          <w:rFonts w:hint="eastAsia"/>
          <w:lang w:val="en-US" w:eastAsia="zh-CN"/>
        </w:rPr>
        <w:t>数据备份与恢复</w:t>
      </w:r>
      <w:bookmarkEnd w:id="113"/>
      <w:bookmarkEnd w:id="114"/>
      <w:bookmarkEnd w:id="115"/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16" w:name="_Toc23866"/>
      <w:bookmarkStart w:id="117" w:name="_Toc13775"/>
      <w:bookmarkStart w:id="118" w:name="_Toc1340"/>
      <w:r>
        <w:rPr>
          <w:rFonts w:hint="eastAsia"/>
          <w:lang w:val="en-US" w:eastAsia="zh-CN"/>
        </w:rPr>
        <w:t>数据备份</w:t>
      </w:r>
      <w:bookmarkEnd w:id="116"/>
      <w:bookmarkEnd w:id="117"/>
      <w:bookmarkEnd w:id="118"/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第一步，使用管理员用户登录系统，在左侧功能菜单依次点击系统管理→数据管理，进入到数据管理界面。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461260"/>
            <wp:effectExtent l="0" t="0" r="1270" b="15240"/>
            <wp:docPr id="14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第二，点击【数据备份并下载】，弹出确定窗口，点击【取消】取消备份操作，点击【确定】开始数据备份。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2809875" cy="1123950"/>
            <wp:effectExtent l="0" t="0" r="9525" b="0"/>
            <wp:docPr id="15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6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114925" cy="1562100"/>
            <wp:effectExtent l="0" t="0" r="9525" b="0"/>
            <wp:docPr id="15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6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</w:p>
    <w:p>
      <w:pPr>
        <w:pStyle w:val="18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第三步，耐心等待数据备份（数据量越大，等待时间越久），数据备份过程不要关闭软件。等待弹出备份数据保存的窗口，选择路径后点击【保存】按钮，完成数据的备份。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546600"/>
            <wp:effectExtent l="0" t="0" r="4445" b="6350"/>
            <wp:docPr id="15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6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567" w:leftChars="0" w:hanging="567" w:firstLineChars="0"/>
        <w:rPr>
          <w:rFonts w:hint="default"/>
          <w:lang w:val="en-US" w:eastAsia="zh-CN"/>
        </w:rPr>
      </w:pPr>
      <w:bookmarkStart w:id="119" w:name="_Toc19205"/>
      <w:bookmarkStart w:id="120" w:name="_Toc13396"/>
      <w:bookmarkStart w:id="121" w:name="_Toc5614"/>
      <w:r>
        <w:rPr>
          <w:rFonts w:hint="eastAsia"/>
          <w:lang w:val="en-US" w:eastAsia="zh-CN"/>
        </w:rPr>
        <w:t>数据恢复</w:t>
      </w:r>
      <w:bookmarkEnd w:id="119"/>
      <w:bookmarkEnd w:id="120"/>
      <w:bookmarkEnd w:id="121"/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注：数据恢复需要有已经备份数据的数据。</w:t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第一步，使用管理员用户登录系统，在左侧功能菜单依次点击系统管理→数据管理，进入到数据管理界面。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r>
        <w:drawing>
          <wp:inline distT="0" distB="0" distL="114300" distR="114300">
            <wp:extent cx="5269230" cy="2436495"/>
            <wp:effectExtent l="0" t="0" r="7620" b="1905"/>
            <wp:docPr id="15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第二步，点击【数据恢复/结构更新】，弹出确定窗口，点击【取消】取消恢复操作，点击【选取文件】，选择恢复的备份数据文件。选择文件后，点击【确定】，开始数据恢复操作。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2628900" cy="895350"/>
            <wp:effectExtent l="0" t="0" r="0" b="0"/>
            <wp:docPr id="15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026660" cy="3895725"/>
            <wp:effectExtent l="0" t="0" r="2540" b="9525"/>
            <wp:docPr id="15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9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179695" cy="4474210"/>
            <wp:effectExtent l="0" t="0" r="1905" b="2540"/>
            <wp:docPr id="15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68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920240"/>
            <wp:effectExtent l="0" t="0" r="3175" b="3810"/>
            <wp:docPr id="16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7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第三步，耐心等待数据恢复（数据量越大，等待时间越久），数据恢复过程不要关闭软件。数据恢复成功后，自动回到登录界面。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72405" cy="3486150"/>
            <wp:effectExtent l="0" t="0" r="4445" b="0"/>
            <wp:docPr id="16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7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19"/>
        <w:bidi w:val="0"/>
        <w:jc w:val="both"/>
        <w:rPr>
          <w:rFonts w:hint="default"/>
          <w:lang w:val="en-US" w:eastAsia="zh-CN"/>
        </w:rPr>
      </w:pPr>
    </w:p>
    <w:bookmarkEnd w:id="122"/>
    <w:sectPr>
      <w:pgSz w:w="11906" w:h="16838"/>
      <w:pgMar w:top="1440" w:right="1800" w:bottom="1440" w:left="1800" w:header="737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dotted" w:color="auto" w:sz="4" w:space="1"/>
      </w:pBdr>
      <w:jc w:val="left"/>
    </w:pPr>
    <w:r>
      <w:rPr>
        <w:rFonts w:hint="eastAsia" w:ascii="方正黑体简体" w:hAnsi="方正黑体简体" w:eastAsia="方正黑体简体" w:cs="方正黑体简体"/>
        <w:sz w:val="18"/>
        <w:szCs w:val="18"/>
      </w:rPr>
      <w:t>广西</w:t>
    </w:r>
    <w:r>
      <w:rPr>
        <w:rFonts w:hint="eastAsia" w:ascii="方正黑体简体" w:hAnsi="方正黑体简体" w:eastAsia="方正黑体简体" w:cs="方正黑体简体"/>
        <w:sz w:val="18"/>
        <w:szCs w:val="18"/>
        <w:lang w:val="en-US" w:eastAsia="zh-CN"/>
      </w:rPr>
      <w:t>企业</w:t>
    </w:r>
    <w:r>
      <w:rPr>
        <w:rFonts w:hint="eastAsia" w:ascii="方正黑体简体" w:hAnsi="方正黑体简体" w:eastAsia="方正黑体简体" w:cs="方正黑体简体"/>
        <w:sz w:val="18"/>
        <w:szCs w:val="18"/>
      </w:rPr>
      <w:t>电子统计台账系统</w:t>
    </w:r>
    <w:r>
      <w:rPr>
        <w:rFonts w:hint="eastAsia" w:ascii="方正黑体简体" w:hAnsi="方正黑体简体" w:eastAsia="方正黑体简体" w:cs="方正黑体简体"/>
        <w:sz w:val="18"/>
        <w:szCs w:val="18"/>
        <w:lang w:val="en-US" w:eastAsia="zh-CN"/>
      </w:rPr>
      <w:t>3.0版本</w:t>
    </w:r>
    <w:r>
      <w:rPr>
        <w:rFonts w:hint="eastAsia" w:ascii="方正黑体简体" w:hAnsi="方正黑体简体" w:eastAsia="方正黑体简体" w:cs="方正黑体简体"/>
        <w:sz w:val="18"/>
        <w:szCs w:val="18"/>
      </w:rPr>
      <w:t>用户使用手册</w:t>
    </w:r>
    <w:r>
      <w:rPr>
        <w:rFonts w:hint="eastAsia" w:ascii="方正黑体简体" w:hAnsi="方正黑体简体" w:eastAsia="方正黑体简体" w:cs="方正黑体简体"/>
        <w:sz w:val="18"/>
        <w:szCs w:val="18"/>
        <w:lang w:eastAsia="zh-CN"/>
      </w:rPr>
      <w:t>（</w:t>
    </w:r>
    <w:r>
      <w:rPr>
        <w:rFonts w:hint="eastAsia" w:ascii="方正黑体简体" w:hAnsi="方正黑体简体" w:eastAsia="方正黑体简体" w:cs="方正黑体简体"/>
        <w:sz w:val="18"/>
        <w:szCs w:val="18"/>
        <w:lang w:val="en-US" w:eastAsia="zh-CN"/>
      </w:rPr>
      <w:t>房地产</w:t>
    </w:r>
    <w:r>
      <w:rPr>
        <w:rFonts w:hint="eastAsia" w:ascii="方正黑体简体" w:hAnsi="方正黑体简体" w:eastAsia="方正黑体简体" w:cs="方正黑体简体"/>
        <w:sz w:val="18"/>
        <w:szCs w:val="18"/>
        <w:lang w:eastAsia="zh-CN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E3DFC1"/>
    <w:multiLevelType w:val="singleLevel"/>
    <w:tmpl w:val="8EE3DFC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AA005AC7"/>
    <w:multiLevelType w:val="singleLevel"/>
    <w:tmpl w:val="AA005AC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CFD75A7A"/>
    <w:multiLevelType w:val="singleLevel"/>
    <w:tmpl w:val="CFD75A7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F2B77814"/>
    <w:multiLevelType w:val="multilevel"/>
    <w:tmpl w:val="F2B77814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7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pStyle w:val="8"/>
      <w:lvlText w:val="%1.%2.%3.%4.%5.%6."/>
      <w:lvlJc w:val="left"/>
      <w:pPr>
        <w:ind w:left="1134" w:hanging="1134"/>
      </w:pPr>
      <w:rPr>
        <w:rFonts w:hint="default" w:ascii="宋体" w:hAnsi="宋体" w:eastAsia="宋体" w:cs="宋体"/>
      </w:rPr>
    </w:lvl>
    <w:lvl w:ilvl="6" w:tentative="0">
      <w:start w:val="1"/>
      <w:numFmt w:val="decimal"/>
      <w:pStyle w:val="9"/>
      <w:lvlText w:val="%1.%2.%3.%4.%5.%6.%7."/>
      <w:lvlJc w:val="left"/>
      <w:pPr>
        <w:ind w:left="1275" w:hanging="1275"/>
      </w:pPr>
      <w:rPr>
        <w:rFonts w:hint="default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68846D96"/>
    <w:multiLevelType w:val="singleLevel"/>
    <w:tmpl w:val="68846D96"/>
    <w:lvl w:ilvl="0" w:tentative="0">
      <w:start w:val="3"/>
      <w:numFmt w:val="chineseCounting"/>
      <w:suff w:val="nothing"/>
      <w:lvlText w:val="第%1，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5YzA5NTdlNGNiY2Y5NzkzNWY1OGU1MDM3YTc4YTIifQ=="/>
  </w:docVars>
  <w:rsids>
    <w:rsidRoot w:val="5E0B4E01"/>
    <w:rsid w:val="005A641C"/>
    <w:rsid w:val="00893649"/>
    <w:rsid w:val="00CE0EE9"/>
    <w:rsid w:val="00D2531E"/>
    <w:rsid w:val="00F52A8D"/>
    <w:rsid w:val="0255707F"/>
    <w:rsid w:val="02572B53"/>
    <w:rsid w:val="02780E85"/>
    <w:rsid w:val="028963E4"/>
    <w:rsid w:val="028A2CD6"/>
    <w:rsid w:val="02930260"/>
    <w:rsid w:val="02AD1DE8"/>
    <w:rsid w:val="02B961CD"/>
    <w:rsid w:val="02CF5EEA"/>
    <w:rsid w:val="03066FC8"/>
    <w:rsid w:val="033D4A06"/>
    <w:rsid w:val="037B54D8"/>
    <w:rsid w:val="03C2588D"/>
    <w:rsid w:val="03D23A89"/>
    <w:rsid w:val="03EB12B8"/>
    <w:rsid w:val="03F83AFF"/>
    <w:rsid w:val="046C6117"/>
    <w:rsid w:val="04791B38"/>
    <w:rsid w:val="04936845"/>
    <w:rsid w:val="04C44C50"/>
    <w:rsid w:val="04E62E18"/>
    <w:rsid w:val="04E85AA0"/>
    <w:rsid w:val="051E6510"/>
    <w:rsid w:val="05445BA3"/>
    <w:rsid w:val="05F61781"/>
    <w:rsid w:val="05FB5FBA"/>
    <w:rsid w:val="06043E9E"/>
    <w:rsid w:val="06656821"/>
    <w:rsid w:val="06885C27"/>
    <w:rsid w:val="069A035E"/>
    <w:rsid w:val="076C4289"/>
    <w:rsid w:val="07A0475C"/>
    <w:rsid w:val="07D90A24"/>
    <w:rsid w:val="07FC4BB4"/>
    <w:rsid w:val="080041F1"/>
    <w:rsid w:val="081B5E94"/>
    <w:rsid w:val="086C1F56"/>
    <w:rsid w:val="08B95DF8"/>
    <w:rsid w:val="097D3C0D"/>
    <w:rsid w:val="09BA4874"/>
    <w:rsid w:val="0A0F4BBF"/>
    <w:rsid w:val="0A314B36"/>
    <w:rsid w:val="0A9C6B68"/>
    <w:rsid w:val="0B1A1A6E"/>
    <w:rsid w:val="0B892BB1"/>
    <w:rsid w:val="0B97065B"/>
    <w:rsid w:val="0BED4FC8"/>
    <w:rsid w:val="0C3A4089"/>
    <w:rsid w:val="0C940276"/>
    <w:rsid w:val="0CE06855"/>
    <w:rsid w:val="0CEA26A8"/>
    <w:rsid w:val="0D164E7A"/>
    <w:rsid w:val="0D5B058D"/>
    <w:rsid w:val="0D7348C3"/>
    <w:rsid w:val="0DCF29AB"/>
    <w:rsid w:val="0DD6095E"/>
    <w:rsid w:val="0E6A098F"/>
    <w:rsid w:val="0E7025EB"/>
    <w:rsid w:val="0EDE197D"/>
    <w:rsid w:val="0F1C7610"/>
    <w:rsid w:val="0F1F278F"/>
    <w:rsid w:val="0F590B44"/>
    <w:rsid w:val="0F9A2EE3"/>
    <w:rsid w:val="0FB627A8"/>
    <w:rsid w:val="0FE34B24"/>
    <w:rsid w:val="10375178"/>
    <w:rsid w:val="10420ADA"/>
    <w:rsid w:val="109866AA"/>
    <w:rsid w:val="10F90377"/>
    <w:rsid w:val="112C4160"/>
    <w:rsid w:val="11CF3139"/>
    <w:rsid w:val="12045226"/>
    <w:rsid w:val="12A56A5E"/>
    <w:rsid w:val="12B427A8"/>
    <w:rsid w:val="132C67E2"/>
    <w:rsid w:val="13305FE2"/>
    <w:rsid w:val="13990E00"/>
    <w:rsid w:val="13AB7D79"/>
    <w:rsid w:val="13F53078"/>
    <w:rsid w:val="14322C84"/>
    <w:rsid w:val="14756348"/>
    <w:rsid w:val="14B6461A"/>
    <w:rsid w:val="14E60B8A"/>
    <w:rsid w:val="14EA425F"/>
    <w:rsid w:val="14FE5025"/>
    <w:rsid w:val="153A0924"/>
    <w:rsid w:val="153A4AE6"/>
    <w:rsid w:val="1606396A"/>
    <w:rsid w:val="164640FE"/>
    <w:rsid w:val="16BE395C"/>
    <w:rsid w:val="171849FF"/>
    <w:rsid w:val="17383477"/>
    <w:rsid w:val="17857D2E"/>
    <w:rsid w:val="17884ACD"/>
    <w:rsid w:val="188E2E47"/>
    <w:rsid w:val="18C871B7"/>
    <w:rsid w:val="18D65DF2"/>
    <w:rsid w:val="19762565"/>
    <w:rsid w:val="19827FA0"/>
    <w:rsid w:val="19BC3E58"/>
    <w:rsid w:val="1A183EC9"/>
    <w:rsid w:val="1A562683"/>
    <w:rsid w:val="1A566B02"/>
    <w:rsid w:val="1A6525DA"/>
    <w:rsid w:val="1A672EA1"/>
    <w:rsid w:val="1ACE4623"/>
    <w:rsid w:val="1BB07BB8"/>
    <w:rsid w:val="1C4E3CA2"/>
    <w:rsid w:val="1C602743"/>
    <w:rsid w:val="1C707155"/>
    <w:rsid w:val="1C9179B7"/>
    <w:rsid w:val="1C9C036D"/>
    <w:rsid w:val="1CB658ED"/>
    <w:rsid w:val="1CBD0A07"/>
    <w:rsid w:val="1CEC4766"/>
    <w:rsid w:val="1D833C3B"/>
    <w:rsid w:val="1DE32193"/>
    <w:rsid w:val="1ED146E2"/>
    <w:rsid w:val="1F1E09AB"/>
    <w:rsid w:val="1F3E0752"/>
    <w:rsid w:val="1F7C289F"/>
    <w:rsid w:val="1F814587"/>
    <w:rsid w:val="1FBF0FF0"/>
    <w:rsid w:val="20394AC5"/>
    <w:rsid w:val="2045328F"/>
    <w:rsid w:val="20537C8D"/>
    <w:rsid w:val="20A12467"/>
    <w:rsid w:val="20B07DE9"/>
    <w:rsid w:val="2118189C"/>
    <w:rsid w:val="21313216"/>
    <w:rsid w:val="214B02AC"/>
    <w:rsid w:val="21935C7E"/>
    <w:rsid w:val="21B32625"/>
    <w:rsid w:val="22042B99"/>
    <w:rsid w:val="22DC135E"/>
    <w:rsid w:val="232B7841"/>
    <w:rsid w:val="234D4CE0"/>
    <w:rsid w:val="23624FA6"/>
    <w:rsid w:val="24133504"/>
    <w:rsid w:val="24AC021B"/>
    <w:rsid w:val="24EF4C36"/>
    <w:rsid w:val="25487A5F"/>
    <w:rsid w:val="25836F36"/>
    <w:rsid w:val="261A49D8"/>
    <w:rsid w:val="271621A9"/>
    <w:rsid w:val="273D0B66"/>
    <w:rsid w:val="27960738"/>
    <w:rsid w:val="27EF320E"/>
    <w:rsid w:val="28CD64F2"/>
    <w:rsid w:val="28FE4325"/>
    <w:rsid w:val="29125B79"/>
    <w:rsid w:val="291903FD"/>
    <w:rsid w:val="292209DE"/>
    <w:rsid w:val="29655A59"/>
    <w:rsid w:val="296827A1"/>
    <w:rsid w:val="297901DE"/>
    <w:rsid w:val="29B726F0"/>
    <w:rsid w:val="29BA01E2"/>
    <w:rsid w:val="29C3613A"/>
    <w:rsid w:val="2A2C5816"/>
    <w:rsid w:val="2A5516C2"/>
    <w:rsid w:val="2AEF065B"/>
    <w:rsid w:val="2B27367F"/>
    <w:rsid w:val="2B5735BD"/>
    <w:rsid w:val="2BFA71CB"/>
    <w:rsid w:val="2C2F3A85"/>
    <w:rsid w:val="2CCD64E8"/>
    <w:rsid w:val="2D357669"/>
    <w:rsid w:val="2E351D1B"/>
    <w:rsid w:val="2EEA4545"/>
    <w:rsid w:val="2EFC0F94"/>
    <w:rsid w:val="2F0913C9"/>
    <w:rsid w:val="2F3578F8"/>
    <w:rsid w:val="2F633134"/>
    <w:rsid w:val="2FBF0078"/>
    <w:rsid w:val="2FF24708"/>
    <w:rsid w:val="306F0895"/>
    <w:rsid w:val="30852A44"/>
    <w:rsid w:val="30AE6631"/>
    <w:rsid w:val="315E56FD"/>
    <w:rsid w:val="31A4015C"/>
    <w:rsid w:val="31BE4D07"/>
    <w:rsid w:val="322A4D37"/>
    <w:rsid w:val="329924D9"/>
    <w:rsid w:val="32B13965"/>
    <w:rsid w:val="33100861"/>
    <w:rsid w:val="333E1891"/>
    <w:rsid w:val="334632A9"/>
    <w:rsid w:val="33BC1065"/>
    <w:rsid w:val="33C770DC"/>
    <w:rsid w:val="33E71D54"/>
    <w:rsid w:val="33F57FBD"/>
    <w:rsid w:val="342910FA"/>
    <w:rsid w:val="343A0557"/>
    <w:rsid w:val="345268F0"/>
    <w:rsid w:val="34BB7790"/>
    <w:rsid w:val="34C74165"/>
    <w:rsid w:val="350B691C"/>
    <w:rsid w:val="353B5ACE"/>
    <w:rsid w:val="35ED6E95"/>
    <w:rsid w:val="3610590B"/>
    <w:rsid w:val="36136E51"/>
    <w:rsid w:val="361C5FF4"/>
    <w:rsid w:val="368500BA"/>
    <w:rsid w:val="36962041"/>
    <w:rsid w:val="369735F4"/>
    <w:rsid w:val="36D84407"/>
    <w:rsid w:val="36E73971"/>
    <w:rsid w:val="36EC753C"/>
    <w:rsid w:val="37140E4A"/>
    <w:rsid w:val="3715158D"/>
    <w:rsid w:val="37163FFD"/>
    <w:rsid w:val="372E794B"/>
    <w:rsid w:val="37B426A3"/>
    <w:rsid w:val="37B87D95"/>
    <w:rsid w:val="37CB17CA"/>
    <w:rsid w:val="37E62E00"/>
    <w:rsid w:val="387202B9"/>
    <w:rsid w:val="3881462B"/>
    <w:rsid w:val="39415970"/>
    <w:rsid w:val="39AE31FE"/>
    <w:rsid w:val="3A0150D3"/>
    <w:rsid w:val="3A197299"/>
    <w:rsid w:val="3AD24EDA"/>
    <w:rsid w:val="3B0B55C2"/>
    <w:rsid w:val="3B2C6AD0"/>
    <w:rsid w:val="3B551DDF"/>
    <w:rsid w:val="3B5A363D"/>
    <w:rsid w:val="3BDF3B42"/>
    <w:rsid w:val="3BF061AC"/>
    <w:rsid w:val="3C3C71E7"/>
    <w:rsid w:val="3CAF3034"/>
    <w:rsid w:val="3CC03DBB"/>
    <w:rsid w:val="3D1912D6"/>
    <w:rsid w:val="3D25389A"/>
    <w:rsid w:val="3D54588C"/>
    <w:rsid w:val="3D581DFE"/>
    <w:rsid w:val="3D632551"/>
    <w:rsid w:val="3D827ED0"/>
    <w:rsid w:val="3DAE7C70"/>
    <w:rsid w:val="3E0E070F"/>
    <w:rsid w:val="3F0D25DF"/>
    <w:rsid w:val="3F226016"/>
    <w:rsid w:val="3F6F15E7"/>
    <w:rsid w:val="3F7031C2"/>
    <w:rsid w:val="3F7942AE"/>
    <w:rsid w:val="3FBD063E"/>
    <w:rsid w:val="3FE3596D"/>
    <w:rsid w:val="3FF42C45"/>
    <w:rsid w:val="40087E09"/>
    <w:rsid w:val="409154EE"/>
    <w:rsid w:val="40F13C02"/>
    <w:rsid w:val="41475EA6"/>
    <w:rsid w:val="418D373F"/>
    <w:rsid w:val="41B4777F"/>
    <w:rsid w:val="420F374D"/>
    <w:rsid w:val="4219272D"/>
    <w:rsid w:val="424C5D66"/>
    <w:rsid w:val="42604346"/>
    <w:rsid w:val="42750D5C"/>
    <w:rsid w:val="433809AC"/>
    <w:rsid w:val="4346451A"/>
    <w:rsid w:val="43496A2C"/>
    <w:rsid w:val="439373DA"/>
    <w:rsid w:val="43A00E91"/>
    <w:rsid w:val="43A53A1F"/>
    <w:rsid w:val="43E52D1B"/>
    <w:rsid w:val="442A28F5"/>
    <w:rsid w:val="44314938"/>
    <w:rsid w:val="443B54A2"/>
    <w:rsid w:val="44673154"/>
    <w:rsid w:val="44843C65"/>
    <w:rsid w:val="449056BE"/>
    <w:rsid w:val="44C42CF2"/>
    <w:rsid w:val="44E308DB"/>
    <w:rsid w:val="45050B2C"/>
    <w:rsid w:val="45124F88"/>
    <w:rsid w:val="45392F0B"/>
    <w:rsid w:val="453B44DF"/>
    <w:rsid w:val="45B33B9B"/>
    <w:rsid w:val="45C2075D"/>
    <w:rsid w:val="46396545"/>
    <w:rsid w:val="46717A8D"/>
    <w:rsid w:val="470E3EA2"/>
    <w:rsid w:val="4736017A"/>
    <w:rsid w:val="474456A1"/>
    <w:rsid w:val="47D45747"/>
    <w:rsid w:val="47DD5AAF"/>
    <w:rsid w:val="480D769C"/>
    <w:rsid w:val="481A551A"/>
    <w:rsid w:val="497A30FC"/>
    <w:rsid w:val="49942DEE"/>
    <w:rsid w:val="4A255A2A"/>
    <w:rsid w:val="4A995D06"/>
    <w:rsid w:val="4AAA2D8A"/>
    <w:rsid w:val="4AAD17EB"/>
    <w:rsid w:val="4AC76136"/>
    <w:rsid w:val="4ADF3B16"/>
    <w:rsid w:val="4B005D14"/>
    <w:rsid w:val="4B6C388E"/>
    <w:rsid w:val="4B996BD0"/>
    <w:rsid w:val="4BA744CF"/>
    <w:rsid w:val="4BEB1682"/>
    <w:rsid w:val="4C0376A9"/>
    <w:rsid w:val="4C0D65A4"/>
    <w:rsid w:val="4C3109F4"/>
    <w:rsid w:val="4C5441B0"/>
    <w:rsid w:val="4C600756"/>
    <w:rsid w:val="4C6F4332"/>
    <w:rsid w:val="4CE208F1"/>
    <w:rsid w:val="4CE216E4"/>
    <w:rsid w:val="4CEC4451"/>
    <w:rsid w:val="4D2515D1"/>
    <w:rsid w:val="4D4E4C09"/>
    <w:rsid w:val="4E4C1D55"/>
    <w:rsid w:val="4E922C96"/>
    <w:rsid w:val="4EAF1171"/>
    <w:rsid w:val="4EC4571D"/>
    <w:rsid w:val="4F3B1580"/>
    <w:rsid w:val="4F5904DD"/>
    <w:rsid w:val="4F730D1A"/>
    <w:rsid w:val="505B4777"/>
    <w:rsid w:val="508237BF"/>
    <w:rsid w:val="51286CF6"/>
    <w:rsid w:val="519B6562"/>
    <w:rsid w:val="51C608D7"/>
    <w:rsid w:val="5283530B"/>
    <w:rsid w:val="52CA29FF"/>
    <w:rsid w:val="53016F54"/>
    <w:rsid w:val="53046FC0"/>
    <w:rsid w:val="5387057D"/>
    <w:rsid w:val="53970F8F"/>
    <w:rsid w:val="539A56A6"/>
    <w:rsid w:val="54001407"/>
    <w:rsid w:val="543C3DD0"/>
    <w:rsid w:val="54623568"/>
    <w:rsid w:val="54653396"/>
    <w:rsid w:val="54AD26D9"/>
    <w:rsid w:val="5540021F"/>
    <w:rsid w:val="557339A7"/>
    <w:rsid w:val="5579200B"/>
    <w:rsid w:val="55C94C6F"/>
    <w:rsid w:val="56231717"/>
    <w:rsid w:val="56384123"/>
    <w:rsid w:val="56523F62"/>
    <w:rsid w:val="56534DCA"/>
    <w:rsid w:val="565F35CD"/>
    <w:rsid w:val="569E06F3"/>
    <w:rsid w:val="571B752D"/>
    <w:rsid w:val="572A5116"/>
    <w:rsid w:val="5778437E"/>
    <w:rsid w:val="57A97FF6"/>
    <w:rsid w:val="57B97A42"/>
    <w:rsid w:val="57F97CBB"/>
    <w:rsid w:val="580249E9"/>
    <w:rsid w:val="580F11ED"/>
    <w:rsid w:val="58407628"/>
    <w:rsid w:val="585A336B"/>
    <w:rsid w:val="58963DBF"/>
    <w:rsid w:val="58DC5B27"/>
    <w:rsid w:val="58EF1411"/>
    <w:rsid w:val="59081A9C"/>
    <w:rsid w:val="596F4DCC"/>
    <w:rsid w:val="598C5387"/>
    <w:rsid w:val="599B569F"/>
    <w:rsid w:val="59B3653F"/>
    <w:rsid w:val="59E8321A"/>
    <w:rsid w:val="59F90A6C"/>
    <w:rsid w:val="5A1C482A"/>
    <w:rsid w:val="5A27264C"/>
    <w:rsid w:val="5A3A48D6"/>
    <w:rsid w:val="5A9E15F7"/>
    <w:rsid w:val="5AA518EE"/>
    <w:rsid w:val="5AAA087E"/>
    <w:rsid w:val="5B7256D3"/>
    <w:rsid w:val="5B7C2D04"/>
    <w:rsid w:val="5BB26369"/>
    <w:rsid w:val="5C202D07"/>
    <w:rsid w:val="5C4E4131"/>
    <w:rsid w:val="5C502358"/>
    <w:rsid w:val="5C9522CF"/>
    <w:rsid w:val="5D404E6F"/>
    <w:rsid w:val="5DA77D4D"/>
    <w:rsid w:val="5DC23FA4"/>
    <w:rsid w:val="5DDC7FDE"/>
    <w:rsid w:val="5E0B4E01"/>
    <w:rsid w:val="5E3143DA"/>
    <w:rsid w:val="5E3A30FA"/>
    <w:rsid w:val="5E5A354E"/>
    <w:rsid w:val="5E631301"/>
    <w:rsid w:val="5E984D81"/>
    <w:rsid w:val="5EC322C5"/>
    <w:rsid w:val="5EE221A0"/>
    <w:rsid w:val="5F285182"/>
    <w:rsid w:val="5F7F18F7"/>
    <w:rsid w:val="5FB04FF9"/>
    <w:rsid w:val="5FC93F22"/>
    <w:rsid w:val="5FD36F84"/>
    <w:rsid w:val="5FD727BC"/>
    <w:rsid w:val="5FF55B43"/>
    <w:rsid w:val="6014413E"/>
    <w:rsid w:val="603242D9"/>
    <w:rsid w:val="604D7630"/>
    <w:rsid w:val="60BE5F5D"/>
    <w:rsid w:val="60CC7840"/>
    <w:rsid w:val="60EF4C1A"/>
    <w:rsid w:val="6129666D"/>
    <w:rsid w:val="612F3E61"/>
    <w:rsid w:val="62055E3F"/>
    <w:rsid w:val="62161995"/>
    <w:rsid w:val="626F2A09"/>
    <w:rsid w:val="62E418BB"/>
    <w:rsid w:val="63286776"/>
    <w:rsid w:val="635449C3"/>
    <w:rsid w:val="635B2933"/>
    <w:rsid w:val="63755142"/>
    <w:rsid w:val="63805D4C"/>
    <w:rsid w:val="638835CC"/>
    <w:rsid w:val="63AB23D8"/>
    <w:rsid w:val="63C82F8A"/>
    <w:rsid w:val="641D732B"/>
    <w:rsid w:val="64275614"/>
    <w:rsid w:val="642D0BA5"/>
    <w:rsid w:val="643D6FD7"/>
    <w:rsid w:val="64C3145D"/>
    <w:rsid w:val="64E04304"/>
    <w:rsid w:val="64EC7AE6"/>
    <w:rsid w:val="652B297D"/>
    <w:rsid w:val="654811BB"/>
    <w:rsid w:val="65721688"/>
    <w:rsid w:val="65AF4B51"/>
    <w:rsid w:val="65D009D0"/>
    <w:rsid w:val="65D25615"/>
    <w:rsid w:val="66732370"/>
    <w:rsid w:val="66C0619B"/>
    <w:rsid w:val="67211BCE"/>
    <w:rsid w:val="67B06240"/>
    <w:rsid w:val="67FA7C0D"/>
    <w:rsid w:val="68475781"/>
    <w:rsid w:val="68602605"/>
    <w:rsid w:val="68C23181"/>
    <w:rsid w:val="6A05320C"/>
    <w:rsid w:val="6A205BD3"/>
    <w:rsid w:val="6A4D0B65"/>
    <w:rsid w:val="6A856094"/>
    <w:rsid w:val="6B06675D"/>
    <w:rsid w:val="6B3B297D"/>
    <w:rsid w:val="6B535628"/>
    <w:rsid w:val="6C251C3C"/>
    <w:rsid w:val="6C4876D2"/>
    <w:rsid w:val="6CB32F8B"/>
    <w:rsid w:val="6CEE4DA1"/>
    <w:rsid w:val="6D0936FF"/>
    <w:rsid w:val="6D505D9E"/>
    <w:rsid w:val="6D51792F"/>
    <w:rsid w:val="6D733394"/>
    <w:rsid w:val="6DE269DA"/>
    <w:rsid w:val="6E6E2AA6"/>
    <w:rsid w:val="6EA77E54"/>
    <w:rsid w:val="6EF12905"/>
    <w:rsid w:val="6F321C00"/>
    <w:rsid w:val="6F6569DA"/>
    <w:rsid w:val="6F81252E"/>
    <w:rsid w:val="701E102C"/>
    <w:rsid w:val="702F14B5"/>
    <w:rsid w:val="70CD6084"/>
    <w:rsid w:val="70D26610"/>
    <w:rsid w:val="70FC08F9"/>
    <w:rsid w:val="716F16BF"/>
    <w:rsid w:val="71880F5E"/>
    <w:rsid w:val="71E16429"/>
    <w:rsid w:val="71EC5676"/>
    <w:rsid w:val="72533A3B"/>
    <w:rsid w:val="72810881"/>
    <w:rsid w:val="72D964AF"/>
    <w:rsid w:val="73125FD0"/>
    <w:rsid w:val="73452630"/>
    <w:rsid w:val="734B045B"/>
    <w:rsid w:val="73B40D23"/>
    <w:rsid w:val="744A22F7"/>
    <w:rsid w:val="74650FF2"/>
    <w:rsid w:val="74695972"/>
    <w:rsid w:val="753D4E5A"/>
    <w:rsid w:val="75BC7564"/>
    <w:rsid w:val="7636535E"/>
    <w:rsid w:val="76A50E2B"/>
    <w:rsid w:val="76A52432"/>
    <w:rsid w:val="77221995"/>
    <w:rsid w:val="78BE1519"/>
    <w:rsid w:val="794F7C70"/>
    <w:rsid w:val="79563E0C"/>
    <w:rsid w:val="79683F00"/>
    <w:rsid w:val="79703A50"/>
    <w:rsid w:val="7A0A3BFE"/>
    <w:rsid w:val="7A8C67C5"/>
    <w:rsid w:val="7AF12BAF"/>
    <w:rsid w:val="7B4A0E23"/>
    <w:rsid w:val="7B4A155B"/>
    <w:rsid w:val="7B874528"/>
    <w:rsid w:val="7BBB1B39"/>
    <w:rsid w:val="7C213321"/>
    <w:rsid w:val="7C383452"/>
    <w:rsid w:val="7CDD764F"/>
    <w:rsid w:val="7D59778F"/>
    <w:rsid w:val="7DAC1D48"/>
    <w:rsid w:val="7DBB54B6"/>
    <w:rsid w:val="7DC840EE"/>
    <w:rsid w:val="7E085548"/>
    <w:rsid w:val="7E2D4446"/>
    <w:rsid w:val="7E327D58"/>
    <w:rsid w:val="7E497221"/>
    <w:rsid w:val="7E613727"/>
    <w:rsid w:val="7EB47670"/>
    <w:rsid w:val="7EB56781"/>
    <w:rsid w:val="7EB62E41"/>
    <w:rsid w:val="7EB73ECF"/>
    <w:rsid w:val="7EF362D5"/>
    <w:rsid w:val="7EFE05D4"/>
    <w:rsid w:val="7F0A2251"/>
    <w:rsid w:val="7F0E0B96"/>
    <w:rsid w:val="7FE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pageBreakBefore/>
      <w:numPr>
        <w:ilvl w:val="0"/>
        <w:numId w:val="1"/>
      </w:numPr>
      <w:tabs>
        <w:tab w:val="left" w:pos="420"/>
      </w:tabs>
      <w:spacing w:before="50" w:beforeLines="50" w:beforeAutospacing="0" w:after="50" w:afterLines="50" w:afterAutospacing="0" w:line="576" w:lineRule="auto"/>
      <w:ind w:left="425" w:hanging="425"/>
      <w:jc w:val="center"/>
      <w:outlineLvl w:val="0"/>
    </w:pPr>
    <w:rPr>
      <w:rFonts w:ascii="方正小标宋简体" w:hAnsi="方正小标宋简体" w:eastAsia="宋体" w:cs="方正小标宋简体"/>
      <w:b/>
      <w:kern w:val="44"/>
      <w:sz w:val="32"/>
      <w:szCs w:val="32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</w:tabs>
      <w:spacing w:before="50" w:beforeLines="50" w:beforeAutospacing="0" w:after="50" w:afterLines="50" w:afterAutospacing="0" w:line="413" w:lineRule="auto"/>
      <w:ind w:left="567" w:hanging="567"/>
      <w:outlineLvl w:val="1"/>
    </w:pPr>
    <w:rPr>
      <w:rFonts w:ascii="Arial" w:hAnsi="Arial" w:eastAsia="宋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</w:tabs>
      <w:spacing w:before="50" w:beforeLines="50" w:beforeAutospacing="0" w:after="50" w:afterLines="50" w:afterAutospacing="0" w:line="413" w:lineRule="auto"/>
      <w:ind w:left="709" w:hanging="709"/>
      <w:outlineLvl w:val="2"/>
    </w:pPr>
    <w:rPr>
      <w:rFonts w:ascii="宋体" w:hAnsi="宋体" w:eastAsia="宋体" w:cs="宋体"/>
      <w:b/>
      <w:bCs/>
      <w:sz w:val="28"/>
      <w:szCs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宋体"/>
      <w:b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rFonts w:eastAsia="宋体" w:asciiTheme="minorAscii" w:hAnsiTheme="minorAscii"/>
      <w:b/>
      <w:sz w:val="21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34" w:hanging="1134"/>
      <w:outlineLvl w:val="5"/>
    </w:pPr>
    <w:rPr>
      <w:rFonts w:ascii="Arial" w:hAnsi="Arial" w:eastAsia="宋体"/>
      <w:b/>
      <w:sz w:val="21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75" w:hanging="1275"/>
      <w:outlineLvl w:val="6"/>
    </w:pPr>
    <w:rPr>
      <w:b/>
      <w:sz w:val="24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10">
    <w:name w:val="toc 3"/>
    <w:basedOn w:val="1"/>
    <w:next w:val="1"/>
    <w:qFormat/>
    <w:uiPriority w:val="0"/>
    <w:pPr>
      <w:ind w:left="840" w:leftChars="400"/>
    </w:p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toc 1"/>
    <w:basedOn w:val="1"/>
    <w:next w:val="1"/>
    <w:qFormat/>
    <w:uiPriority w:val="0"/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A首行缩进-正文"/>
    <w:basedOn w:val="1"/>
    <w:qFormat/>
    <w:uiPriority w:val="0"/>
    <w:pPr>
      <w:spacing w:before="100" w:beforeLines="100" w:after="100" w:afterLines="100" w:line="360" w:lineRule="exact"/>
      <w:ind w:firstLine="880" w:firstLineChars="200"/>
    </w:pPr>
    <w:rPr>
      <w:rFonts w:eastAsia="宋体" w:asciiTheme="minorAscii" w:hAnsiTheme="minorAscii"/>
      <w:szCs w:val="21"/>
    </w:rPr>
  </w:style>
  <w:style w:type="paragraph" w:customStyle="1" w:styleId="19">
    <w:name w:val="A图片-居中"/>
    <w:basedOn w:val="1"/>
    <w:qFormat/>
    <w:uiPriority w:val="0"/>
    <w:pPr>
      <w:spacing w:before="100" w:beforeLines="100" w:after="100" w:afterLines="100"/>
      <w:jc w:val="center"/>
    </w:pPr>
    <w:rPr>
      <w:rFonts w:asciiTheme="minorAscii" w:hAnsiTheme="minorAscii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8" Type="http://schemas.openxmlformats.org/officeDocument/2006/relationships/fontTable" Target="fontTable.xml"/><Relationship Id="rId117" Type="http://schemas.openxmlformats.org/officeDocument/2006/relationships/numbering" Target="numbering.xml"/><Relationship Id="rId116" Type="http://schemas.openxmlformats.org/officeDocument/2006/relationships/customXml" Target="../customXml/item1.xml"/><Relationship Id="rId115" Type="http://schemas.openxmlformats.org/officeDocument/2006/relationships/image" Target="media/image109.png"/><Relationship Id="rId114" Type="http://schemas.openxmlformats.org/officeDocument/2006/relationships/image" Target="media/image108.png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image" Target="media/image104.png"/><Relationship Id="rId11" Type="http://schemas.openxmlformats.org/officeDocument/2006/relationships/image" Target="media/image5.png"/><Relationship Id="rId109" Type="http://schemas.openxmlformats.org/officeDocument/2006/relationships/image" Target="media/image103.png"/><Relationship Id="rId108" Type="http://schemas.openxmlformats.org/officeDocument/2006/relationships/image" Target="media/image102.png"/><Relationship Id="rId107" Type="http://schemas.openxmlformats.org/officeDocument/2006/relationships/image" Target="media/image101.png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52</Pages>
  <Words>10870</Words>
  <Characters>11105</Characters>
  <Lines>0</Lines>
  <Paragraphs>0</Paragraphs>
  <TotalTime>0</TotalTime>
  <ScaleCrop>false</ScaleCrop>
  <LinksUpToDate>false</LinksUpToDate>
  <CharactersWithSpaces>11205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2022-05-10T02:37:00Z</dcterms:created>
  <dc:creator>WPS_1510908470</dc:creator>
  <cp:lastModifiedBy>lbs</cp:lastModifiedBy>
  <dcterms:modified xsi:type="dcterms:W3CDTF">2023-08-25T08:57:17Z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E597436B4AE6423294204C85FE009905</vt:lpwstr>
  </property>
</Properties>
</file>