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黑体简体" w:hAnsi="方正黑体简体" w:eastAsia="方正黑体简体" w:cs="方正黑体简体"/>
          <w:sz w:val="44"/>
          <w:szCs w:val="44"/>
        </w:rPr>
      </w:pPr>
      <w:bookmarkStart w:id="123" w:name="_GoBack"/>
    </w:p>
    <w:p>
      <w:pPr>
        <w:jc w:val="center"/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sz w:val="52"/>
          <w:szCs w:val="52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</w:rPr>
        <w:t>广西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  <w:lang w:val="en-US" w:eastAsia="zh-CN"/>
        </w:rPr>
        <w:t>企业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52"/>
          <w:szCs w:val="52"/>
        </w:rPr>
        <w:t>电子统计台账系统</w:t>
      </w:r>
    </w:p>
    <w:p>
      <w:pPr>
        <w:jc w:val="center"/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  <w:t>3.0版本用户使用手册</w:t>
      </w:r>
    </w:p>
    <w:p>
      <w:pPr>
        <w:jc w:val="both"/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sz w:val="48"/>
          <w:szCs w:val="48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48"/>
          <w:szCs w:val="48"/>
          <w:lang w:val="en-US" w:eastAsia="zh-CN"/>
        </w:rPr>
        <w:t>（社科处）</w:t>
      </w:r>
    </w:p>
    <w:p>
      <w:pPr>
        <w:jc w:val="center"/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</w:pPr>
    </w:p>
    <w:p>
      <w:pPr>
        <w:jc w:val="both"/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编制日期：2023年05月</w:t>
      </w:r>
    </w:p>
    <w:p>
      <w:pPr>
        <w:jc w:val="both"/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文档版本：v3.0</w:t>
      </w:r>
    </w:p>
    <w:p>
      <w:pPr>
        <w:jc w:val="both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pgSz w:w="11906" w:h="16838"/>
          <w:pgMar w:top="1587" w:right="1814" w:bottom="1587" w:left="1814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197"/>
        <w15:color w:val="DBDBDB"/>
        <w:docPartObj>
          <w:docPartGallery w:val="Table of Contents"/>
          <w:docPartUnique/>
        </w:docPartObj>
      </w:sdtPr>
      <w:sdtEndPr>
        <w:rPr>
          <w:rFonts w:hint="default" w:ascii="方正黑体简体" w:hAnsi="方正黑体简体" w:eastAsia="方正黑体简体" w:cs="方正黑体简体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黑体简体" w:hAnsi="方正黑体简体" w:eastAsia="方正黑体简体" w:cs="方正黑体简体"/>
              <w:sz w:val="32"/>
              <w:szCs w:val="32"/>
            </w:rPr>
          </w:pPr>
          <w:r>
            <w:rPr>
              <w:rFonts w:hint="eastAsia" w:ascii="方正黑体简体" w:hAnsi="方正黑体简体" w:eastAsia="方正黑体简体" w:cs="方正黑体简体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_Toc6084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系统新建账号/登录</w:t>
          </w:r>
          <w:r>
            <w:tab/>
          </w:r>
          <w:r>
            <w:fldChar w:fldCharType="begin"/>
          </w:r>
          <w:r>
            <w:instrText xml:space="preserve"> PAGEREF _Toc6084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_Toc30968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_Toc30968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_Toc22149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新建统计账号</w:t>
          </w:r>
          <w:r>
            <w:tab/>
          </w:r>
          <w:r>
            <w:fldChar w:fldCharType="begin"/>
          </w:r>
          <w:r>
            <w:instrText xml:space="preserve"> PAGEREF _Toc22149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_Toc22482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统计账号登录操作步骤</w:t>
          </w:r>
          <w:r>
            <w:tab/>
          </w:r>
          <w:r>
            <w:fldChar w:fldCharType="begin"/>
          </w:r>
          <w:r>
            <w:instrText xml:space="preserve"> PAGEREF _Toc22482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_Toc28089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_Toc28089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_Toc26507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首页介绍</w:t>
          </w:r>
          <w:r>
            <w:tab/>
          </w:r>
          <w:r>
            <w:fldChar w:fldCharType="begin"/>
          </w:r>
          <w:r>
            <w:instrText xml:space="preserve"> PAGEREF _Toc26507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_Toc27823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_Toc27823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_Toc21991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_Toc21991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_Toc32516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_Toc32516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_Toc10575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企业信息修改记录查看与比对</w:t>
          </w:r>
          <w:r>
            <w:tab/>
          </w:r>
          <w:r>
            <w:fldChar w:fldCharType="begin"/>
          </w:r>
          <w:r>
            <w:instrText xml:space="preserve"> PAGEREF _Toc10575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_Toc32182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研究账页（</w:t>
          </w:r>
          <w:r>
            <w:rPr>
              <w:rFonts w:hint="default"/>
              <w:lang w:val="en-US" w:eastAsia="zh-CN"/>
            </w:rPr>
            <w:t>数据采集审核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_Toc32182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_Toc31263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费用类别管理</w:t>
          </w:r>
          <w:r>
            <w:tab/>
          </w:r>
          <w:r>
            <w:fldChar w:fldCharType="begin"/>
          </w:r>
          <w:r>
            <w:instrText xml:space="preserve"> PAGEREF _Toc31263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_Toc32185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数据采集（研发费用明细采集）</w:t>
          </w:r>
          <w:r>
            <w:tab/>
          </w:r>
          <w:r>
            <w:fldChar w:fldCharType="begin"/>
          </w:r>
          <w:r>
            <w:instrText xml:space="preserve"> PAGEREF _Toc32185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_Toc5976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数据存档</w:t>
          </w:r>
          <w:r>
            <w:tab/>
          </w:r>
          <w:r>
            <w:fldChar w:fldCharType="begin"/>
          </w:r>
          <w:r>
            <w:instrText xml:space="preserve"> PAGEREF _Toc5976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_Toc28776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 </w:t>
          </w:r>
          <w:r>
            <w:rPr>
              <w:rFonts w:hint="eastAsia"/>
              <w:highlight w:val="none"/>
              <w:lang w:val="en-US" w:eastAsia="zh-CN"/>
            </w:rPr>
            <w:t>凭证管理</w:t>
          </w:r>
          <w:r>
            <w:tab/>
          </w:r>
          <w:r>
            <w:fldChar w:fldCharType="begin"/>
          </w:r>
          <w:r>
            <w:instrText xml:space="preserve"> PAGEREF _Toc28776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_Toc31195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5.1. </w:t>
          </w:r>
          <w:r>
            <w:rPr>
              <w:rFonts w:hint="eastAsia"/>
              <w:lang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_Toc31195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_Toc19528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_Toc19528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_Toc17057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6. </w:t>
          </w:r>
          <w:r>
            <w:rPr>
              <w:rFonts w:hint="eastAsia"/>
              <w:lang w:eastAsia="zh-CN"/>
            </w:rPr>
            <w:t>电子台账</w:t>
          </w:r>
          <w:r>
            <w:tab/>
          </w:r>
          <w:r>
            <w:fldChar w:fldCharType="begin"/>
          </w:r>
          <w:r>
            <w:instrText xml:space="preserve"> PAGEREF _Toc17057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_Toc10472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eastAsia="zh-CN"/>
            </w:rPr>
            <w:t xml:space="preserve">6.1. </w:t>
          </w:r>
          <w:r>
            <w:rPr>
              <w:rFonts w:hint="eastAsia"/>
              <w:lang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_Toc10472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_Toc9097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_Toc9097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_Toc20214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电子报表</w:t>
          </w:r>
          <w:r>
            <w:tab/>
          </w:r>
          <w:r>
            <w:fldChar w:fldCharType="begin"/>
          </w:r>
          <w:r>
            <w:instrText xml:space="preserve"> PAGEREF _Toc20214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_Toc20398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_Toc20398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_Toc1466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_Toc1466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_Toc14187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回收站</w:t>
          </w:r>
          <w:r>
            <w:tab/>
          </w:r>
          <w:r>
            <w:fldChar w:fldCharType="begin"/>
          </w:r>
          <w:r>
            <w:instrText xml:space="preserve"> PAGEREF _Toc14187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_Toc29070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_Toc29070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_Toc13680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_Toc13680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_Toc13082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 </w:t>
          </w:r>
          <w:r>
            <w:rPr>
              <w:rFonts w:hint="eastAsia"/>
              <w:lang w:val="en-US" w:eastAsia="zh-CN"/>
            </w:rPr>
            <w:t>数据备份与恢复</w:t>
          </w:r>
          <w:r>
            <w:tab/>
          </w:r>
          <w:r>
            <w:fldChar w:fldCharType="begin"/>
          </w:r>
          <w:r>
            <w:instrText xml:space="preserve"> PAGEREF _Toc13082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_Toc15770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9.1. </w:t>
          </w:r>
          <w:r>
            <w:rPr>
              <w:rFonts w:hint="eastAsia"/>
              <w:lang w:val="en-US" w:eastAsia="zh-CN"/>
            </w:rPr>
            <w:t>数据备份</w:t>
          </w:r>
          <w:r>
            <w:tab/>
          </w:r>
          <w:r>
            <w:fldChar w:fldCharType="begin"/>
          </w:r>
          <w:r>
            <w:instrText xml:space="preserve"> PAGEREF _Toc15770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78"/>
            </w:tabs>
          </w:pPr>
          <w:r>
            <w:fldChar w:fldCharType="begin"/>
          </w:r>
          <w:r>
            <w:instrText xml:space="preserve"> HYPERLINK \l _Toc13651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9.2. </w:t>
          </w:r>
          <w:r>
            <w:rPr>
              <w:rFonts w:hint="eastAsia"/>
              <w:lang w:val="en-US" w:eastAsia="zh-CN"/>
            </w:rPr>
            <w:t>数据恢复</w:t>
          </w:r>
          <w:r>
            <w:tab/>
          </w:r>
          <w:r>
            <w:fldChar w:fldCharType="begin"/>
          </w:r>
          <w:r>
            <w:instrText xml:space="preserve"> PAGEREF _Toc13651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jc w:val="both"/>
            <w:rPr>
              <w:rFonts w:hint="default" w:ascii="方正黑体简体" w:hAnsi="方正黑体简体" w:eastAsia="方正黑体简体" w:cs="方正黑体简体"/>
              <w:sz w:val="32"/>
              <w:szCs w:val="32"/>
              <w:lang w:val="en-US" w:eastAsia="zh-CN"/>
            </w:rPr>
          </w:pPr>
          <w:r>
            <w:fldChar w:fldCharType="end"/>
          </w:r>
        </w:p>
      </w:sdtContent>
    </w:sdt>
    <w:p>
      <w:pPr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jc w:val="center"/>
        <w:rPr>
          <w:rFonts w:hint="default"/>
          <w:lang w:val="en-US" w:eastAsia="zh-CN"/>
        </w:rPr>
      </w:pPr>
      <w:bookmarkStart w:id="0" w:name="_Toc26456"/>
      <w:bookmarkStart w:id="1" w:name="_Toc10706"/>
      <w:bookmarkStart w:id="2" w:name="_Toc5840"/>
      <w:bookmarkStart w:id="3" w:name="_Toc6084"/>
      <w:r>
        <w:rPr>
          <w:rFonts w:hint="eastAsia"/>
          <w:lang w:val="en-US" w:eastAsia="zh-CN"/>
        </w:rPr>
        <w:t>系统新建账号/登录</w:t>
      </w:r>
      <w:bookmarkEnd w:id="0"/>
      <w:bookmarkEnd w:id="1"/>
      <w:bookmarkEnd w:id="2"/>
      <w:bookmarkEnd w:id="3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4" w:name="_Toc403"/>
      <w:bookmarkStart w:id="5" w:name="_Toc15465"/>
      <w:bookmarkStart w:id="6" w:name="_Toc25967"/>
      <w:bookmarkStart w:id="7" w:name="_Toc30968"/>
      <w:r>
        <w:rPr>
          <w:rFonts w:hint="eastAsia"/>
          <w:lang w:val="en-US" w:eastAsia="zh-CN"/>
        </w:rPr>
        <w:t>业务及功能描述</w:t>
      </w:r>
      <w:bookmarkEnd w:id="4"/>
      <w:bookmarkEnd w:id="5"/>
      <w:bookmarkEnd w:id="6"/>
      <w:bookmarkEnd w:id="7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广西企业电子统计台账系统3.0版是单机版系统，由实施人员在安装时完成授权，系统默认提供了管理员账号，企业可以使用管理员账号创建业务办理的统计员账号。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8" w:name="_Toc18247"/>
      <w:bookmarkStart w:id="9" w:name="_Toc799"/>
      <w:bookmarkStart w:id="10" w:name="_Toc22149"/>
      <w:r>
        <w:rPr>
          <w:rFonts w:hint="eastAsia"/>
          <w:lang w:val="en-US" w:eastAsia="zh-CN"/>
        </w:rPr>
        <w:t>新建统计账号</w:t>
      </w:r>
      <w:bookmarkEnd w:id="8"/>
      <w:bookmarkEnd w:id="9"/>
      <w:bookmarkEnd w:id="10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第一步，首次安装系统的企业电脑，在安装完成后，首先使用gsadmin账号进行登录。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171315" cy="2879725"/>
            <wp:effectExtent l="0" t="0" r="635" b="15875"/>
            <wp:docPr id="2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第二步，在系统左上角点击“</w:t>
      </w:r>
      <w:r>
        <w:drawing>
          <wp:inline distT="0" distB="0" distL="114300" distR="114300">
            <wp:extent cx="210185" cy="163195"/>
            <wp:effectExtent l="0" t="0" r="18415" b="8255"/>
            <wp:docPr id="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展开菜单栏。在菜单栏中点击【用户管理】，进入用户管理界面。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808855" cy="1800225"/>
            <wp:effectExtent l="0" t="0" r="10795" b="9525"/>
            <wp:docPr id="2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第三步，在【用户管理】界面点击【新增】按钮，弹出新增用户账号弹窗口。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1450" cy="589915"/>
            <wp:effectExtent l="0" t="0" r="6350" b="635"/>
            <wp:docPr id="2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，设置【登录账号】、【登录密码】、【姓名】以及账号【是否有效】，并根据企业所属行业选择【报表类型】（报表类型为单选，关系到该用户在企业信息模块的采集和显示），根据企业需要做的统计报表选择【统计类型】（统计类型可多选，关系到企业可采集的数据类型和生成的台账、报表）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例如：如企业所属行业为规模以上工业，需做工业统计报表和</w:t>
      </w:r>
      <w:r>
        <w:rPr>
          <w:rFonts w:hint="eastAsia"/>
          <w:lang w:val="en-US" w:eastAsia="zh-CN"/>
        </w:rPr>
        <w:t>研究开发账页</w:t>
      </w:r>
      <w:r>
        <w:rPr>
          <w:rFonts w:hint="default"/>
          <w:lang w:val="en-US" w:eastAsia="zh-CN"/>
        </w:rPr>
        <w:t>，则【报表类型】勾选“规模以上工业”；在【统计类型】勾选“规模以上工业”和“</w:t>
      </w:r>
      <w:r>
        <w:rPr>
          <w:rFonts w:hint="eastAsia"/>
          <w:lang w:val="en-US" w:eastAsia="zh-CN"/>
        </w:rPr>
        <w:t>研究开发账页</w:t>
      </w:r>
      <w:r>
        <w:rPr>
          <w:rFonts w:hint="default"/>
          <w:lang w:val="en-US" w:eastAsia="zh-CN"/>
        </w:rPr>
        <w:t>”。新增的账号在登录后，可以采集数据生成规模以上工业的统计报表和</w:t>
      </w:r>
      <w:r>
        <w:rPr>
          <w:rFonts w:hint="eastAsia"/>
          <w:lang w:val="en-US" w:eastAsia="zh-CN"/>
        </w:rPr>
        <w:t>研究开发账页汇总表</w:t>
      </w:r>
      <w:r>
        <w:rPr>
          <w:rFonts w:hint="default"/>
          <w:lang w:val="en-US" w:eastAsia="zh-CN"/>
        </w:rPr>
        <w:t>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0815" cy="2073275"/>
            <wp:effectExtent l="0" t="0" r="6985" b="317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第五步，提交：新账号信息设置完成后，点击【提交】完成添加账号；或者点击【取消】，取消本次新增操作。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1638300" cy="466725"/>
            <wp:effectExtent l="0" t="0" r="0" b="9525"/>
            <wp:docPr id="22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" w:name="_Toc25044"/>
      <w:bookmarkStart w:id="12" w:name="_Toc4402"/>
      <w:bookmarkStart w:id="13" w:name="_Toc815"/>
      <w:bookmarkStart w:id="14" w:name="_Toc22482"/>
      <w:r>
        <w:rPr>
          <w:rFonts w:hint="eastAsia"/>
          <w:lang w:val="en-US" w:eastAsia="zh-CN"/>
        </w:rPr>
        <w:t>统计账号登录操作步骤</w:t>
      </w:r>
      <w:bookmarkEnd w:id="11"/>
      <w:bookmarkEnd w:id="12"/>
      <w:bookmarkEnd w:id="13"/>
      <w:bookmarkEnd w:id="14"/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460875" cy="3239770"/>
            <wp:effectExtent l="0" t="0" r="15875" b="1778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第一步，系统部署完成后，双击“广西企业电子统计台账.exe”图标，打开系统。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第二步，输入正确的账号和密码（用gsadmin账号新增的统计员用户）。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第三步，点击【登录】，进入到系统首页。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15" w:name="_Toc23774"/>
      <w:bookmarkStart w:id="16" w:name="_Toc7304"/>
      <w:bookmarkStart w:id="17" w:name="_Toc22103"/>
      <w:bookmarkStart w:id="18" w:name="_Toc28089"/>
      <w:r>
        <w:rPr>
          <w:rFonts w:hint="eastAsia"/>
          <w:lang w:val="en-US" w:eastAsia="zh-CN"/>
        </w:rPr>
        <w:t>首页</w:t>
      </w:r>
      <w:bookmarkEnd w:id="15"/>
      <w:bookmarkEnd w:id="16"/>
      <w:bookmarkEnd w:id="17"/>
      <w:bookmarkEnd w:id="18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9" w:name="_Toc13068"/>
      <w:bookmarkStart w:id="20" w:name="_Toc20662"/>
      <w:bookmarkStart w:id="21" w:name="_Toc24192"/>
      <w:bookmarkStart w:id="22" w:name="_Toc26507"/>
      <w:r>
        <w:rPr>
          <w:rFonts w:hint="eastAsia"/>
          <w:lang w:val="en-US" w:eastAsia="zh-CN"/>
        </w:rPr>
        <w:t>首页介绍</w:t>
      </w:r>
      <w:bookmarkEnd w:id="19"/>
      <w:bookmarkEnd w:id="20"/>
      <w:bookmarkEnd w:id="21"/>
      <w:bookmarkEnd w:id="22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首页展示了系统名称，当前登录用户名称的基本信息。系统左上角提供展开/收缩功能菜单按钮，系统功能菜单提供系统所功能的入口；系统右上角提供修改用户密码、退出登录的功能；在首页的主界面，提供【企业信息】、【数据采集审核】、【电子台账】、【电子报表】四个主要功能模块的快捷入口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3355" cy="2658110"/>
            <wp:effectExtent l="0" t="0" r="4445" b="889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一、系统【展开/收缩菜单】按钮</w:t>
      </w:r>
      <w:r>
        <w:drawing>
          <wp:inline distT="0" distB="0" distL="114300" distR="114300">
            <wp:extent cx="184150" cy="179705"/>
            <wp:effectExtent l="0" t="0" r="6350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，点击该按钮可以展开或收缩系统功能菜单。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二、【首页】按钮</w:t>
      </w:r>
      <w:r>
        <w:drawing>
          <wp:inline distT="0" distB="0" distL="114300" distR="114300">
            <wp:extent cx="201930" cy="179705"/>
            <wp:effectExtent l="0" t="0" r="762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，点击【首页】按钮回到系统首页。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三、系统的名称。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四、期别年份选择。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统计类型切换，当前登录账号若需统计多种【统计类型】，可点击指定统计类型进行切换，做指定统计报表类型的数据采集、台账、报表生成操作。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95850" cy="18573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当前登录系统的【用户名】。点击【用户名】，弹出【法律义务告知】、【操作手册】、【修改密码】和【退出登录】的选项。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686050" cy="2590800"/>
            <wp:effectExtent l="0" t="0" r="0" b="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企业信息、数据采集审核、电子台账、电子报表功能模块的快捷入口。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172075" cy="3638550"/>
            <wp:effectExtent l="0" t="0" r="9525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3" w:name="_Toc15693"/>
      <w:bookmarkStart w:id="24" w:name="_Toc30469"/>
      <w:bookmarkStart w:id="25" w:name="_Toc27094"/>
      <w:bookmarkStart w:id="26" w:name="_Toc27823"/>
      <w:r>
        <w:rPr>
          <w:rFonts w:hint="eastAsia"/>
          <w:lang w:val="en-US" w:eastAsia="zh-CN"/>
        </w:rPr>
        <w:t>操作步骤</w:t>
      </w:r>
      <w:bookmarkEnd w:id="23"/>
      <w:bookmarkEnd w:id="24"/>
      <w:bookmarkEnd w:id="25"/>
      <w:bookmarkEnd w:id="26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统计类型切换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第一步，点击系统右上角显示统计类型，弹出【统计类型切换】的选项。</w:t>
      </w:r>
    </w:p>
    <w:p>
      <w:pPr>
        <w:jc w:val="center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4895850" cy="1857375"/>
            <wp:effectExtent l="0" t="0" r="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第二步，点击指定统计类型名称（如点击“研究开发账页”），切换到该统计报表类型。切换成功后，系统的功能菜单切换为对应报表类型的功能。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72050" cy="3095625"/>
            <wp:effectExtent l="0" t="0" r="0" b="952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27" w:name="_Toc12398"/>
      <w:r>
        <w:rPr>
          <w:rFonts w:hint="eastAsia"/>
          <w:lang w:val="en-US" w:eastAsia="zh-CN"/>
        </w:rPr>
        <w:t>查看法律义务告知</w:t>
      </w:r>
      <w:bookmarkEnd w:id="27"/>
    </w:p>
    <w:p>
      <w:pPr>
        <w:ind w:firstLine="420" w:firstLineChars="20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第一步，点击系统右上角【用户名】，弹出【法律义务告知】、【操作手册】、【修改密码】和【退出登录】的选项。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352675" cy="2581275"/>
            <wp:effectExtent l="0" t="0" r="9525" b="9525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第二步，点击【法律义务告知】，弹出法律义务告知书窗口，查阅统计法律义务告知内容。点击【下载打印】，可把法律义务告知内容下载到本地电脑。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52085" cy="3663315"/>
            <wp:effectExtent l="0" t="0" r="5715" b="1333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28" w:name="_Toc26291"/>
      <w:r>
        <w:rPr>
          <w:rFonts w:hint="eastAsia"/>
          <w:lang w:val="en-US" w:eastAsia="zh-CN"/>
        </w:rPr>
        <w:t>操作手册下载</w:t>
      </w:r>
      <w:bookmarkEnd w:id="28"/>
    </w:p>
    <w:p>
      <w:pPr>
        <w:ind w:firstLine="420" w:firstLineChars="20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第一步，点击系统右上角【用户名】，弹出【法律义务告知】、【操作手册】、【修改密码】和【退出登录】的选项。</w:t>
      </w:r>
    </w:p>
    <w:p>
      <w:pPr>
        <w:jc w:val="center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2266950" cy="2600325"/>
            <wp:effectExtent l="0" t="0" r="0" b="9525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第二步，点击【操作手册】，可把操作手册下载到本地电脑。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29" w:name="_Toc1257"/>
      <w:bookmarkStart w:id="30" w:name="_Toc13350"/>
      <w:r>
        <w:rPr>
          <w:rFonts w:hint="eastAsia"/>
          <w:lang w:val="en-US" w:eastAsia="zh-CN"/>
        </w:rPr>
        <w:t>修改用户密码</w:t>
      </w:r>
      <w:bookmarkEnd w:id="29"/>
      <w:bookmarkEnd w:id="30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点击系统右上角【用户名】</w:t>
      </w:r>
      <w:r>
        <w:rPr>
          <w:rFonts w:hint="eastAsia"/>
          <w:lang w:val="en-US" w:eastAsia="zh-CN"/>
        </w:rPr>
        <w:t>，弹出【法律义务告知】、【操作手册】、【修改密码】和【退出登录】的选项。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76475" cy="2533650"/>
            <wp:effectExtent l="0" t="0" r="9525" b="0"/>
            <wp:docPr id="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第二步，点击【修改密码】，弹出修改密码窗口。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874770" cy="1800225"/>
            <wp:effectExtent l="0" t="0" r="1143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第三步，输入新密码和确认密码。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第四步，点击【保存】按钮，弹出确认提示，点击【确定】完成当前用户密码的更改。或点击【取消】按钮，可以取消密码的更改。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31" w:name="_Toc3047"/>
      <w:bookmarkStart w:id="32" w:name="_Toc2470"/>
      <w:r>
        <w:rPr>
          <w:rFonts w:hint="eastAsia"/>
          <w:lang w:val="en-US" w:eastAsia="zh-CN"/>
        </w:rPr>
        <w:t>退出系统</w:t>
      </w:r>
      <w:bookmarkEnd w:id="31"/>
      <w:bookmarkEnd w:id="32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第一步，点击系统右上角【用户名】，弹出【法律义务告知】、【操作手册】、【修改密码】和【退出登录】的选项。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257425" cy="2543175"/>
            <wp:effectExtent l="0" t="0" r="9525" b="9525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第二步，点击【退出登录】，弹出确认提示，点击【确定】退出系统。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33" w:name="_Toc13826"/>
      <w:bookmarkStart w:id="34" w:name="_Toc11689"/>
      <w:bookmarkStart w:id="35" w:name="_Toc30993"/>
      <w:bookmarkStart w:id="36" w:name="_Toc21991"/>
      <w:r>
        <w:rPr>
          <w:rFonts w:hint="eastAsia"/>
          <w:lang w:val="en-US" w:eastAsia="zh-CN"/>
        </w:rPr>
        <w:t>企业信息</w:t>
      </w:r>
      <w:bookmarkEnd w:id="33"/>
      <w:bookmarkEnd w:id="34"/>
      <w:bookmarkEnd w:id="35"/>
      <w:bookmarkEnd w:id="36"/>
    </w:p>
    <w:p>
      <w:pPr>
        <w:ind w:firstLine="420" w:firstLineChars="20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val="en-US" w:eastAsia="zh-CN"/>
        </w:rPr>
        <w:t>【企业信息】包含了【企业信息】和【企业信息修改记录】两个子功能模块。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广西企业电子统计台账系统实施部署完成后，单位首先要在企业信息功能模块中导入【调查单位基本情况】完善企业的信息，才能进行其他业务的办理。用户可从统计联网直报平台中导出201-1【调查单位基本情况】表，再把该表导入到广西企业电子统计台账系统中。</w:t>
      </w:r>
    </w:p>
    <w:p>
      <w:pPr>
        <w:pStyle w:val="18"/>
        <w:bidi w:val="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val="en-US" w:eastAsia="zh-CN"/>
        </w:rPr>
        <w:t>系统记录了企业信息的修改记录，可对修改记录进行查询和选择多次修改记录进行比对。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37" w:name="_Toc14113"/>
      <w:bookmarkStart w:id="38" w:name="_Toc10843"/>
      <w:bookmarkStart w:id="39" w:name="_Toc2558"/>
      <w:bookmarkStart w:id="40" w:name="_Toc32516"/>
      <w:r>
        <w:rPr>
          <w:rFonts w:hint="eastAsia"/>
          <w:lang w:val="en-US" w:eastAsia="zh-CN"/>
        </w:rPr>
        <w:t>企业信息</w:t>
      </w:r>
      <w:bookmarkEnd w:id="37"/>
      <w:bookmarkEnd w:id="38"/>
      <w:bookmarkEnd w:id="39"/>
      <w:bookmarkEnd w:id="40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41" w:name="_Toc16221"/>
      <w:bookmarkStart w:id="42" w:name="_Toc14883"/>
      <w:r>
        <w:rPr>
          <w:rFonts w:hint="eastAsia"/>
          <w:lang w:val="en-US" w:eastAsia="zh-CN"/>
        </w:rPr>
        <w:t>业务及功能描述</w:t>
      </w:r>
      <w:bookmarkEnd w:id="41"/>
      <w:bookmarkEnd w:id="42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用户在系统首页点击【企业信息】或在系统左侧菜单栏点击【企业信息】，进入到企业信息管理的功能模块。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8910" cy="2258060"/>
            <wp:effectExtent l="0" t="0" r="8890" b="8890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在【企业信息】模块中，可查看调查单位的基本情况，进行【Excel企业信息导入】、【企业信息导出】及【修改】的操作。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50815" cy="1527810"/>
            <wp:effectExtent l="0" t="0" r="6985" b="15240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43" w:name="_Toc26954"/>
      <w:bookmarkStart w:id="44" w:name="_Toc31866"/>
      <w:r>
        <w:rPr>
          <w:rFonts w:hint="eastAsia"/>
          <w:lang w:val="en-US" w:eastAsia="zh-CN"/>
        </w:rPr>
        <w:t>操作步骤</w:t>
      </w:r>
      <w:bookmarkEnd w:id="43"/>
      <w:bookmarkEnd w:id="44"/>
    </w:p>
    <w:p>
      <w:pPr>
        <w:pStyle w:val="5"/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Excel企业信息导入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由企业准备201-1【调查单位基本情况】表（可从统计联网直报平台中导出），再把该表导入到广西企业电子统计台账系统中。具体操作步骤如下：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第一步，进入企业信息（调查单位基本情况）界面，在页面最低端点击【Excel企业信息导入】按钮，弹出选择导入文件的界面。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276725" cy="571500"/>
            <wp:effectExtent l="0" t="0" r="9525" b="0"/>
            <wp:docPr id="1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第二步，选择准备好的调查单位基本情况表，点击【打开】，导入企业信息。</w:t>
      </w:r>
    </w:p>
    <w:p>
      <w:pPr>
        <w:pStyle w:val="19"/>
        <w:bidi w:val="0"/>
      </w:pPr>
      <w:r>
        <w:drawing>
          <wp:inline distT="0" distB="0" distL="114300" distR="114300">
            <wp:extent cx="5254625" cy="3009265"/>
            <wp:effectExtent l="0" t="0" r="3175" b="635"/>
            <wp:docPr id="2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第三步，刚导入的企业信息处于未保存状态，用户可以检查和修改更正企业信息，确认信息无误后，点击【保存】，完成企业信息的导入；或者点击【取消】，取消企业信息的导入。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495675" cy="6286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企业信息导出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系统支持把【调查单位基本情况】表导出到本地电脑。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第一步，进入企业信息（调查单位基本情况）界面，点击【企业信息导出】，弹出导出企业信息的对话框。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4114800" cy="6096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第二步，选择文件保存的路径，点击【保存】，完成企业信息的导出。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804410" cy="2564130"/>
            <wp:effectExtent l="0" t="0" r="15240" b="762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企业信息修改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系统支持修改更新【调查单位基本情况】表的信息。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第一步，进入企业信息（调查单位基本情况）界面，点击【修改】，【调查单位基本情况】表变为可修改状态。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51225" cy="570865"/>
            <wp:effectExtent l="0" t="0" r="15875" b="63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第二步，逐项修改【调查单位基本情况】表中需要更新的内容。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第三步，修改完成后，点击【保存】，完成企业信息的更新；或点击【取消】，取消当前所有内容的修改。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609975" cy="800100"/>
            <wp:effectExtent l="0" t="0" r="9525" b="0"/>
            <wp:docPr id="5" name="图片 5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45" w:name="_Toc13140"/>
      <w:bookmarkStart w:id="46" w:name="_Toc27946"/>
      <w:bookmarkStart w:id="47" w:name="_Toc5774"/>
      <w:bookmarkStart w:id="48" w:name="_Toc10575"/>
      <w:r>
        <w:rPr>
          <w:rFonts w:hint="eastAsia"/>
          <w:lang w:val="en-US" w:eastAsia="zh-CN"/>
        </w:rPr>
        <w:t>企业信息修改记录查看与比对</w:t>
      </w:r>
      <w:bookmarkEnd w:id="45"/>
      <w:bookmarkEnd w:id="46"/>
      <w:bookmarkEnd w:id="47"/>
      <w:bookmarkEnd w:id="48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49" w:name="_Toc22712"/>
      <w:bookmarkStart w:id="50" w:name="_Toc3766"/>
      <w:r>
        <w:rPr>
          <w:rFonts w:hint="eastAsia"/>
          <w:lang w:val="en-US" w:eastAsia="zh-CN"/>
        </w:rPr>
        <w:t>业务及功能描述</w:t>
      </w:r>
      <w:bookmarkEnd w:id="49"/>
      <w:bookmarkEnd w:id="50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用户登录系统后，依次点击【企业信息】→【企业信息修改记录】即可进入到【企业信息修改记录】功能界面。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系统支持查看单位信息的历史修改记录。可对多个记录进行【修改记录比对】，通过比对展示出不同版本的企业信息相互之间的区别。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0815" cy="1467485"/>
            <wp:effectExtent l="0" t="0" r="6985" b="18415"/>
            <wp:docPr id="2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51" w:name="_Toc23867"/>
      <w:bookmarkStart w:id="52" w:name="_Toc1532"/>
      <w:r>
        <w:rPr>
          <w:rFonts w:hint="eastAsia"/>
          <w:lang w:val="en-US" w:eastAsia="zh-CN"/>
        </w:rPr>
        <w:t>操作步骤</w:t>
      </w:r>
      <w:bookmarkEnd w:id="51"/>
      <w:bookmarkEnd w:id="52"/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查询修改记录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输入单位名称，点击【查询】，可查询对应的修改记录。</w:t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修改记录比对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第一步，勾选需要比对的多个记录信息。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1450" cy="1951355"/>
            <wp:effectExtent l="0" t="0" r="6350" b="10795"/>
            <wp:docPr id="2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第二步，点击【修改记录比对】，跳转到比对的界面，查看两次记录的区别。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1450" cy="1394460"/>
            <wp:effectExtent l="0" t="0" r="6350" b="15240"/>
            <wp:docPr id="2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第三步，点击【返回上一级】，结束修改记录比对信息的查看，回到【企业信息修改记录】主界面。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53" w:name="_Toc21351"/>
      <w:bookmarkStart w:id="54" w:name="_Toc26650"/>
      <w:bookmarkStart w:id="55" w:name="_Toc32182"/>
      <w:r>
        <w:rPr>
          <w:rFonts w:hint="eastAsia"/>
          <w:lang w:val="en-US" w:eastAsia="zh-CN"/>
        </w:rPr>
        <w:t>研究账页（</w:t>
      </w:r>
      <w:r>
        <w:rPr>
          <w:rFonts w:hint="default"/>
          <w:lang w:val="en-US" w:eastAsia="zh-CN"/>
        </w:rPr>
        <w:t>数据采集审核</w:t>
      </w:r>
      <w:bookmarkEnd w:id="53"/>
      <w:bookmarkEnd w:id="54"/>
      <w:r>
        <w:rPr>
          <w:rFonts w:hint="eastAsia"/>
          <w:lang w:val="en-US" w:eastAsia="zh-CN"/>
        </w:rPr>
        <w:t>）</w:t>
      </w:r>
      <w:bookmarkEnd w:id="55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数据采集审核</w:t>
      </w:r>
      <w:r>
        <w:rPr>
          <w:rFonts w:hint="eastAsia"/>
          <w:lang w:val="en-US" w:eastAsia="zh-CN"/>
        </w:rPr>
        <w:t>】模块包含了【数据采集】、【数据存档】、【费用类别管理】三个功能模块。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【数据采集】：【研发费用明细采集】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费用类别管理】：提供费用类别管理功能，根据采集的研发费用明细中“费用类别”指标的关键内容，与费用类别管理模块中的类别信息进行匹配归类。生成台账时存在与费用类别无法匹配的数据，系统跳出提示，选择是否继续。如果继续生成台账，把无法匹配费用类别的数据统一归类为其他费用。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【研发费用明细存档】：系统在生成电子台账时，会把【研发费用明细采集】中的数据清空，并把数据转存到【研发费用明细存档】中。【研发费用明细存档】中的存档数据，与生成的电子台账相互关联。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56" w:name="_Toc9284"/>
      <w:bookmarkStart w:id="57" w:name="_Toc31263"/>
      <w:bookmarkStart w:id="58" w:name="_Toc24392"/>
      <w:r>
        <w:rPr>
          <w:rFonts w:hint="eastAsia"/>
          <w:lang w:val="en-US" w:eastAsia="zh-CN"/>
        </w:rPr>
        <w:t>费用类别管理</w:t>
      </w:r>
      <w:bookmarkEnd w:id="56"/>
      <w:bookmarkEnd w:id="57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业务功能及描述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用户登录系统后，在系统左侧功能菜单依次点击【研究开发】→【费用类别管理】，就能进入到【费用类别管理】功能界面。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费用类别管理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提供费用类别管理功能，默认的费用类别目录与社会和科技统计处专业要求一致包括：（1）人员人工费用，（2）直接投入费用，（3）折旧费用与长期待摊费用，（4）无形资产摊销费用,（5）设计费用，（6）装备调试费用与试验费用，（7）委托境内研究机构费用，（8）委托境内高等学校，（9）委托境内企业，（10）委托境外机构，（11）其它费用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根据采集的</w:t>
      </w:r>
      <w:r>
        <w:rPr>
          <w:rFonts w:hint="eastAsia"/>
          <w:lang w:val="en-US" w:eastAsia="zh-CN"/>
        </w:rPr>
        <w:t>研发费用明细中“</w:t>
      </w:r>
      <w:r>
        <w:rPr>
          <w:rFonts w:hint="default"/>
          <w:lang w:val="en-US" w:eastAsia="zh-CN"/>
        </w:rPr>
        <w:t>费用类别</w:t>
      </w:r>
      <w:r>
        <w:rPr>
          <w:rFonts w:hint="eastAsia"/>
          <w:lang w:val="en-US" w:eastAsia="zh-CN"/>
        </w:rPr>
        <w:t>”指标</w:t>
      </w:r>
      <w:r>
        <w:rPr>
          <w:rFonts w:hint="default"/>
          <w:lang w:val="en-US" w:eastAsia="zh-CN"/>
        </w:rPr>
        <w:t>的关键内容，与费用类别管理模块中的类别信息进行匹配归类。生成台账时存在与费用类别无法匹配的数据，系统跳出提示，选择是否继续。如果继续生成台账，把无法匹配费用类别的数据统一归类为其他费用。</w:t>
      </w:r>
    </w:p>
    <w:p>
      <w:pPr>
        <w:pStyle w:val="19"/>
        <w:bidi w:val="0"/>
      </w:pPr>
      <w:r>
        <w:drawing>
          <wp:inline distT="0" distB="0" distL="114300" distR="114300">
            <wp:extent cx="5010150" cy="3196590"/>
            <wp:effectExtent l="0" t="0" r="0" b="38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单个费用关联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（系统根据“国家规模统计要求”对费用的基础分类信息进行了限制，用户不可以对基础费用类进行新增、编辑与删除的操作。如【人员人工费用】属于基础类别，不能进行新增、删除和编辑的操作）。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第一步，选择基础费用类别：在【费用树】通过点击分类名称选择需要关联的费用类别。</w:t>
      </w:r>
    </w:p>
    <w:p>
      <w:pPr>
        <w:pStyle w:val="19"/>
        <w:bidi w:val="0"/>
      </w:pPr>
      <w:r>
        <w:drawing>
          <wp:inline distT="0" distB="0" distL="114300" distR="114300">
            <wp:extent cx="5255260" cy="2101850"/>
            <wp:effectExtent l="0" t="0" r="2540" b="1270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第二步，填写新增关联信息：点击【费用关联】，弹出填写关联费用信息的窗口，填写费用类别信息。</w:t>
      </w:r>
    </w:p>
    <w:p>
      <w:pPr>
        <w:pStyle w:val="19"/>
        <w:bidi w:val="0"/>
      </w:pPr>
      <w:r>
        <w:drawing>
          <wp:inline distT="0" distB="0" distL="114300" distR="114300">
            <wp:extent cx="4448175" cy="158115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第三步，提交：费用类别信息填写完成后，点击【提交】，完成企业费用类别与目录费用类别的关联匹配；或者点击【取消】，取消本次关联操作。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09750" cy="514350"/>
            <wp:effectExtent l="0" t="0" r="0" b="0"/>
            <wp:docPr id="10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批量导入费用类别信息（Excel导入）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使用系统提供的费用类别管理表格模板，将费用类别信息填写完成后，批量导入到系统中。具体操作步骤如下：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第一步，下载模板：点击【模板下载】，选择下载的路径后，点击【保存】，把费用类别管理表格模板下载到本地电脑。</w:t>
      </w:r>
    </w:p>
    <w:p>
      <w:pPr>
        <w:pStyle w:val="19"/>
        <w:bidi w:val="0"/>
      </w:pPr>
      <w:r>
        <w:drawing>
          <wp:inline distT="0" distB="0" distL="114300" distR="114300">
            <wp:extent cx="3476625" cy="514350"/>
            <wp:effectExtent l="0" t="0" r="9525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第二步，填写费用类别信息：在费用类别管理模板中填写费用类别信息。填写完成后在系统上点击【Excel导入】，跳转到excel导入界面。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543300" cy="504825"/>
            <wp:effectExtent l="0" t="0" r="0" b="952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第三步，导入数据：点击【excel数据导入】，选择填好费用类别信息的费用类别管理表格，点击【打开】，把费用类别信息导入到系统中。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90900" cy="1476375"/>
            <wp:effectExtent l="0" t="0" r="0" b="9525"/>
            <wp:docPr id="2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</w:pPr>
      <w:r>
        <w:drawing>
          <wp:inline distT="0" distB="0" distL="114300" distR="114300">
            <wp:extent cx="5253990" cy="3154045"/>
            <wp:effectExtent l="0" t="0" r="3810" b="825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编辑、删除、查询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系统支持对用户添加的费用类别信息进行维护更新，可进行编辑、删除、查询操作。</w:t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编辑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编辑：选择点击费用类别管理列表右侧【编辑】按钮，弹出的编辑界面，可以对费用类别信息进行更新修改。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0180" cy="1178560"/>
            <wp:effectExtent l="0" t="0" r="7620" b="254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删除分为批量删除和单个删除两种方式。</w:t>
      </w:r>
    </w:p>
    <w:p>
      <w:pPr>
        <w:pStyle w:val="18"/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批量删除：点击费用类别列表左侧【方框】打√，选中需要删除的费用类别后，点击列表上方【删除】按钮，在弹出的确认删除对话框中点击【确定】，批量删除所有选中的费用类别。</w:t>
      </w:r>
    </w:p>
    <w:p>
      <w:pPr>
        <w:pStyle w:val="19"/>
        <w:bidi w:val="0"/>
      </w:pPr>
      <w:r>
        <w:drawing>
          <wp:inline distT="0" distB="0" distL="114300" distR="114300">
            <wp:extent cx="5250815" cy="1464310"/>
            <wp:effectExtent l="0" t="0" r="6985" b="254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单个删除：点击费用类别列表右侧【删除】按钮，在弹出的确认删除对话框中点击【确定】，删除该条费用类别信息。</w:t>
      </w:r>
    </w:p>
    <w:p>
      <w:pPr>
        <w:pStyle w:val="19"/>
        <w:bidi w:val="0"/>
      </w:pPr>
      <w:r>
        <w:drawing>
          <wp:inline distT="0" distB="0" distL="114300" distR="114300">
            <wp:extent cx="5253355" cy="1195070"/>
            <wp:effectExtent l="0" t="0" r="4445" b="508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搜索与查询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系统支持根据名称来对费用类别信息进行查询（支持模糊查询）。在查询框中输入名称，点击【查询】按钮，即可查询出相关费用类别信息。</w:t>
      </w:r>
    </w:p>
    <w:p>
      <w:pPr>
        <w:pStyle w:val="19"/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133850" cy="561975"/>
            <wp:effectExtent l="0" t="0" r="0" b="9525"/>
            <wp:docPr id="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系统支持在费用树中搜索费用类别信息。在【费用树】上方搜索框中输入搜索内容，即可在费用树中搜索到需要的信息。</w:t>
      </w:r>
    </w:p>
    <w:p>
      <w:pPr>
        <w:pStyle w:val="19"/>
        <w:bidi w:val="0"/>
      </w:pPr>
      <w:r>
        <w:drawing>
          <wp:inline distT="0" distB="0" distL="114300" distR="114300">
            <wp:extent cx="5253355" cy="2239010"/>
            <wp:effectExtent l="0" t="0" r="4445" b="889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59" w:name="_Toc32185"/>
      <w:bookmarkStart w:id="60" w:name="_Toc3869"/>
      <w:r>
        <w:rPr>
          <w:rFonts w:hint="eastAsia"/>
          <w:lang w:val="en-US" w:eastAsia="zh-CN"/>
        </w:rPr>
        <w:t>数据采集（</w:t>
      </w:r>
      <w:bookmarkStart w:id="61" w:name="_Ref6380"/>
      <w:r>
        <w:rPr>
          <w:rFonts w:hint="eastAsia"/>
          <w:lang w:val="en-US" w:eastAsia="zh-CN"/>
        </w:rPr>
        <w:t>研发费用明细采集</w:t>
      </w:r>
      <w:bookmarkEnd w:id="61"/>
      <w:r>
        <w:rPr>
          <w:rFonts w:hint="eastAsia"/>
          <w:lang w:val="en-US" w:eastAsia="zh-CN"/>
        </w:rPr>
        <w:t>）</w:t>
      </w:r>
      <w:bookmarkEnd w:id="59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采集研发费用明细数据，按季度生成研究开发账页。</w:t>
      </w:r>
    </w:p>
    <w:bookmarkEnd w:id="60"/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业务及功能描述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数据采集审核】→【数据采集】→【研发费用明细采集】，或者在系统左侧功能菜单依次点击【研究开发】→【数据采集】→【研发费用明细采集】，进入到【研发费用明细采集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支持通过手动新增和Excel批量导入两种方式采集研发费用明细数据。采集的数据信息包括了日期、原始凭证号、凭证摘要、会计科目名称、研究开发费用支出（元）、费用类别、所属项目。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单位可从目前正在使用的财务/管理系统中导出相关表格，在广西企业电子统计台账系统建立数据采集模板，实现一键采集研发费用明细数据。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广西企业电子统计台账系统提供了</w:t>
      </w:r>
      <w:r>
        <w:rPr>
          <w:rFonts w:hint="eastAsia"/>
          <w:lang w:val="en-US" w:eastAsia="zh-CN"/>
        </w:rPr>
        <w:t>研发费用明细</w:t>
      </w:r>
      <w:r>
        <w:rPr>
          <w:rFonts w:hint="default"/>
          <w:lang w:val="en-US" w:eastAsia="zh-CN"/>
        </w:rPr>
        <w:t>采集的Excel表格模板和数据采集默认模板，用户可下载表格模板填写数据后，一键导入到系统中。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5895" cy="1410335"/>
            <wp:effectExtent l="0" t="0" r="1905" b="18415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62" w:name="_Ref9760"/>
      <w:r>
        <w:rPr>
          <w:rFonts w:hint="eastAsia"/>
          <w:lang w:val="en-US" w:eastAsia="zh-CN"/>
        </w:rPr>
        <w:t>操作步骤</w:t>
      </w:r>
      <w:bookmarkEnd w:id="62"/>
    </w:p>
    <w:p>
      <w:pPr>
        <w:pStyle w:val="5"/>
        <w:bidi w:val="0"/>
        <w:ind w:left="864" w:leftChars="0" w:hanging="864" w:firstLineChars="0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模板管理与配置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系统提供了默认的数据采集模板，如果使用系统下载的Excel表格填写【研发费用明细采集】数据，不需要新建模板，可直接使用默认的数据采集模板导入研发费用明细数据。</w:t>
      </w:r>
    </w:p>
    <w:p>
      <w:pPr>
        <w:pStyle w:val="18"/>
        <w:numPr>
          <w:ilvl w:val="0"/>
          <w:numId w:val="4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新增模板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次导入研发费用明细原始数据前，系统会有默认的模板提供使用。如果默认的模板不符合企业的表格，就需要根据企业研发费用数据表的样式，在广西企业电子统计台账系统中建立数据采集模板。建立模板的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第一步，进入新增模板界面：在【研发费用明细采集】界面，依次点击【导入研究开发账页采集明细】→【新增模板】，跳转到编辑新增模板界面。</w:t>
      </w:r>
    </w:p>
    <w:p>
      <w:pPr>
        <w:pStyle w:val="19"/>
        <w:bidi w:val="0"/>
      </w:pPr>
      <w:r>
        <w:drawing>
          <wp:inline distT="0" distB="0" distL="114300" distR="114300">
            <wp:extent cx="5248275" cy="1288415"/>
            <wp:effectExtent l="0" t="0" r="9525" b="6985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3990" cy="1036955"/>
            <wp:effectExtent l="0" t="0" r="381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模板配置：在模板编辑界面，填写模板信息，包括报表类型、模板名称、数据开始行、数据结束倒数行、剔除行判断内容所在列、剔除行判断内容、取数工作表配置。具体字段的解释可查阅模板表格后面的红色字体注释内容。</w:t>
      </w:r>
    </w:p>
    <w:p>
      <w:pPr>
        <w:pStyle w:val="19"/>
        <w:bidi w:val="0"/>
      </w:pPr>
      <w:r>
        <w:drawing>
          <wp:inline distT="0" distB="0" distL="114300" distR="114300">
            <wp:extent cx="5249545" cy="5487035"/>
            <wp:effectExtent l="0" t="0" r="8255" b="18415"/>
            <wp:docPr id="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点击“新增字段映射”可添加一个“报表字段映射”表，设置多个报表取数映射。</w:t>
      </w:r>
    </w:p>
    <w:p>
      <w:pPr>
        <w:pStyle w:val="19"/>
        <w:bidi w:val="0"/>
      </w:pPr>
      <w:r>
        <w:drawing>
          <wp:inline distT="0" distB="0" distL="114300" distR="114300">
            <wp:extent cx="4067175" cy="600075"/>
            <wp:effectExtent l="0" t="0" r="9525" b="9525"/>
            <wp:docPr id="1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</w:pPr>
      <w:r>
        <w:drawing>
          <wp:inline distT="0" distB="0" distL="114300" distR="114300">
            <wp:extent cx="5247005" cy="3277235"/>
            <wp:effectExtent l="0" t="0" r="10795" b="18415"/>
            <wp:docPr id="9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587" w:right="1814" w:bottom="1587" w:left="1814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模板配置示例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模板配置截图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7350125" cy="4679950"/>
            <wp:effectExtent l="0" t="0" r="3175" b="635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501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数据来源表截图</w:t>
      </w:r>
    </w:p>
    <w:p>
      <w:pPr>
        <w:pStyle w:val="19"/>
        <w:bidi w:val="0"/>
      </w:pPr>
      <w:r>
        <w:drawing>
          <wp:inline distT="0" distB="0" distL="114300" distR="114300">
            <wp:extent cx="4521200" cy="4679950"/>
            <wp:effectExtent l="0" t="0" r="12700" b="6350"/>
            <wp:docPr id="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配置示例：如上述“模板配置截图”和“数据来源表截图”所示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3780"/>
        <w:gridCol w:w="1545"/>
        <w:gridCol w:w="6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模板基本信息配置：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报表类型</w:t>
            </w:r>
          </w:p>
        </w:tc>
        <w:tc>
          <w:tcPr>
            <w:tcW w:w="3780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根据导入原始数据的类型，选择指定的报表类型，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默认自动选择，通常不需要手动修改。</w:t>
            </w:r>
          </w:p>
        </w:tc>
        <w:tc>
          <w:tcPr>
            <w:tcW w:w="1545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模板名称</w:t>
            </w:r>
          </w:p>
        </w:tc>
        <w:tc>
          <w:tcPr>
            <w:tcW w:w="6989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输入模板名称，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导入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数据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时通过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模板名称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来选择所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使用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的模板。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数据开始行</w:t>
            </w:r>
          </w:p>
        </w:tc>
        <w:tc>
          <w:tcPr>
            <w:tcW w:w="3780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数据来源表的有效数据是从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第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行开始，所以模板里填“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”。</w:t>
            </w:r>
          </w:p>
        </w:tc>
        <w:tc>
          <w:tcPr>
            <w:tcW w:w="1545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数据结束倒数行</w:t>
            </w:r>
          </w:p>
        </w:tc>
        <w:tc>
          <w:tcPr>
            <w:tcW w:w="6989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即剔除底部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无效的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项数据，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数据表有效数据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结束为倒数第几行则填写相应的数字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，示例模板中需要剔除“填表人”、“负责人”两行，有效数据为倒数第3行，数据结束倒数行填写“3”。列表尾没有剔除的数据可填1或者0，也可以不填写。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剔除行判断内容所在列</w:t>
            </w:r>
          </w:p>
        </w:tc>
        <w:tc>
          <w:tcPr>
            <w:tcW w:w="3780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通过判断某一列所有数据行的关键内容，剔除数据表中间的无效数据行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若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中间没有需要剔除的行，可以使用系统默认值或者不填。</w:t>
            </w:r>
          </w:p>
        </w:tc>
        <w:tc>
          <w:tcPr>
            <w:tcW w:w="1545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剔除行判断内容</w:t>
            </w:r>
          </w:p>
        </w:tc>
        <w:tc>
          <w:tcPr>
            <w:tcW w:w="6989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数据来源表中间有无效的数据行需要剔除，在剔除行判断内容处填写关键词即可进行剔除，如示例的数据表中，有“小计、合计”的数据需要剔除，填写“小计,合计”。剔除多个内容时，中间用英文逗号“,”链接。若中间没有需要剔除的行，不需要填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剔除方式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1.模糊剔除：根据填写的剔除内容，模糊匹配进行剔除。2.精确剔除：根据填写的剔除内容，精确匹配进行剔除。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是否行转列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默认选择“否”，需要行转列选择“是”。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取数工作表方式</w:t>
            </w:r>
          </w:p>
        </w:tc>
        <w:tc>
          <w:tcPr>
            <w:tcW w:w="3780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设置根据工作表的名称或者工作表号来采集表格数据。</w:t>
            </w:r>
          </w:p>
        </w:tc>
        <w:tc>
          <w:tcPr>
            <w:tcW w:w="1545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取数工作表配置</w:t>
            </w:r>
          </w:p>
        </w:tc>
        <w:tc>
          <w:tcPr>
            <w:tcW w:w="6989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填写需要采集的数据的工作表号或工作表名称，如果需要设置采集多个表，表号或表名称之间用英文逗号“,”链接。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baseline"/>
                <w:lang w:val="en-US" w:eastAsia="zh-CN"/>
              </w:rPr>
              <w:t>示例的模板配置填写了“2”，表示采集了第2个表sheet2的数据。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报表字段映射配置：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日期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填写数据来源表中指定数据列或单元格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坐标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，如“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日期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”从数据来源表的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列来取值，所以数据【来源类型】选择“列表”，所在列填“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A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原始凭证号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填写数据来源表中指定数据列或单元格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坐标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，如“原始凭证号”从数据来源表的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B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列来取值，所以数据【来源类型】选择“列表”，所在列填“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B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凭证摘要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填写数据来源表中指定数据列或单元格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坐标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，如“凭证摘要”从数据来源表的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列来取值，所以数据【来源类型】选择“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列表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”，所在列填“</w:t>
            </w:r>
            <w:r>
              <w:rPr>
                <w:rFonts w:hint="eastAsia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......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其他数据取值操作方式如上，填写对应本地导入文件的序号即可。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新增字段映射：点击“新增字段映射”按钮，添加一个“报表字段映射”表，支持同时采集多个产品数据。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  <w:sectPr>
          <w:pgSz w:w="16838" w:h="11906" w:orient="landscape"/>
          <w:pgMar w:top="1814" w:right="1587" w:bottom="1800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第三步，完成编辑后提交：新增模板内容填写完成后，点击【提交】，完成模板的新增；或者点击【取消】，取消新增模板。</w:t>
      </w:r>
    </w:p>
    <w:p>
      <w:pPr>
        <w:pStyle w:val="18"/>
        <w:numPr>
          <w:ilvl w:val="0"/>
          <w:numId w:val="4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修改模板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如果研发费用明细数据来源表的样式发生了变化，需要在广西企业电子统计台账系统中对原来的模板进行相应的修改，与新的研发费用明细数据来源表进行匹配。修改模板的操作步骤如下：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第一步，进入修改模板界面：在【研发费用明细采集】界面，点击【导入研究开发账页采集明细】，选择需要修改的【模板名称】，然后点击【修改模板】，跳转到修改模板界面。</w:t>
      </w:r>
    </w:p>
    <w:p>
      <w:pPr>
        <w:pStyle w:val="19"/>
        <w:bidi w:val="0"/>
      </w:pPr>
      <w:r>
        <w:drawing>
          <wp:inline distT="0" distB="0" distL="114300" distR="114300">
            <wp:extent cx="4772025" cy="590550"/>
            <wp:effectExtent l="0" t="0" r="9525" b="0"/>
            <wp:docPr id="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73040" cy="403225"/>
            <wp:effectExtent l="0" t="0" r="3810" b="15875"/>
            <wp:docPr id="9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第二步，在模板编辑页面，修改模板的信息，完成修改后点击【提交】完成模板信息的更新修改；或者点击【取消】，取消对模板的修改。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667000" cy="495300"/>
            <wp:effectExtent l="0" t="0" r="0" b="0"/>
            <wp:docPr id="1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导入研发费用明细数据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模板配置完成后，即可使用研发费用明细数据来源表（excel表格），直接把研发费用明细数据，一键导入到广西企业电子统计台账系统中。具体操作步骤如下：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第一步，在【研发费用明细采集】界面，点击【导入研究开发账页采集明细】，选择与导入表格匹配的【报表模板】，然后点击【Excel数据导入】，跳转到选择导入表格的界面。</w:t>
      </w:r>
    </w:p>
    <w:p>
      <w:pPr>
        <w:pStyle w:val="19"/>
        <w:bidi w:val="0"/>
      </w:pPr>
      <w:r>
        <w:drawing>
          <wp:inline distT="0" distB="0" distL="114300" distR="114300">
            <wp:extent cx="4772025" cy="590550"/>
            <wp:effectExtent l="0" t="0" r="9525" b="0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94970"/>
            <wp:effectExtent l="0" t="0" r="6985" b="5080"/>
            <wp:docPr id="9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第二步，选择导入的表格，点击打开，完成数据采集。</w:t>
      </w:r>
    </w:p>
    <w:p>
      <w:pPr>
        <w:pStyle w:val="19"/>
        <w:bidi w:val="0"/>
      </w:pPr>
      <w:r>
        <w:drawing>
          <wp:inline distT="0" distB="0" distL="114300" distR="114300">
            <wp:extent cx="5269865" cy="3157855"/>
            <wp:effectExtent l="0" t="0" r="6985" b="4445"/>
            <wp:docPr id="9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outlineLvl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研究费用明细采集数据新增、删除与编辑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系统支持对【研发费用明细采集】的数据进行查询、新增、删除、清空与编辑的操作，并保存操作的记录。</w:t>
      </w:r>
    </w:p>
    <w:p>
      <w:pPr>
        <w:pStyle w:val="18"/>
        <w:numPr>
          <w:ilvl w:val="0"/>
          <w:numId w:val="5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在查询框中输入关键信息，点击【查询】，按条件对采集的数据进行筛选查询。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610100" cy="571500"/>
            <wp:effectExtent l="0" t="0" r="0" b="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点击【新增】按钮，录入新增数据的内容后点击【提交】，即可新增一条研发费用明细数据。</w:t>
      </w:r>
    </w:p>
    <w:p>
      <w:pPr>
        <w:pStyle w:val="19"/>
        <w:bidi w:val="0"/>
      </w:pPr>
      <w:r>
        <w:drawing>
          <wp:inline distT="0" distB="0" distL="114300" distR="114300">
            <wp:extent cx="4438650" cy="542925"/>
            <wp:effectExtent l="0" t="0" r="0" b="9525"/>
            <wp:docPr id="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【研发费用明细采集】的数据删除操作分为批量删除和单个删除两种方式。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批量删除：点击列表左侧【方框】打√，选中需要删除的数据后，点击数据列表上方【删除】按钮，在弹出的确认删除对话框中点击【确定】，批量删除所有选中的数据。</w:t>
      </w:r>
    </w:p>
    <w:p>
      <w:pPr>
        <w:pStyle w:val="19"/>
        <w:bidi w:val="0"/>
      </w:pPr>
      <w:r>
        <w:drawing>
          <wp:inline distT="0" distB="0" distL="114300" distR="114300">
            <wp:extent cx="5270500" cy="1379855"/>
            <wp:effectExtent l="0" t="0" r="6350" b="10795"/>
            <wp:docPr id="10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单个删除：点击数据列表右侧【删除】按钮，在弹出的确认删除对话框中点击【确定】，即可删除该条数据信息。</w:t>
      </w:r>
    </w:p>
    <w:p>
      <w:pPr>
        <w:pStyle w:val="19"/>
        <w:bidi w:val="0"/>
      </w:pPr>
      <w:r>
        <w:drawing>
          <wp:inline distT="0" distB="0" distL="114300" distR="114300">
            <wp:extent cx="5273040" cy="967740"/>
            <wp:effectExtent l="0" t="0" r="3810" b="3810"/>
            <wp:docPr id="10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清空</w:t>
      </w:r>
    </w:p>
    <w:p>
      <w:pPr>
        <w:pStyle w:val="18"/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系统支持一键清空已采集的【研发费用明细采集】数据。点击【清空】按钮，在弹出的确认对话框中点击【确定】，一键清空系统已采集的研发费用明细原始数据。</w:t>
      </w:r>
    </w:p>
    <w:p>
      <w:pPr>
        <w:pStyle w:val="18"/>
        <w:numPr>
          <w:ilvl w:val="0"/>
          <w:numId w:val="5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编辑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系统支持对【研发费用明细采集】的数据进行修改编辑。具体步骤如下：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第一步，进入编辑页：点击数据列表右侧【编辑】按钮，弹出编辑修改数据的界面。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024255"/>
            <wp:effectExtent l="0" t="0" r="10160" b="4445"/>
            <wp:docPr id="10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第二步，修改数据：修改数据的内容。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第三步，提交修改：数据修改完成后，点击【提交】，在弹出的确认窗口中点击【确定】，完成指定数据内容的修改；或者点击【取消】，取消本次修改的操作。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1638300" cy="447675"/>
            <wp:effectExtent l="0" t="0" r="0" b="952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outlineLvl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查看修改记录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查看【研发费用明细采集】数据的修改记录信息，记录信息包括了修改时间、修改内容和操作类型。点击【修改记录】，进入到查看修改记录查看页面。可选择【修改开始日期】和【修改结束日期】，来筛选查询修改记录。</w:t>
      </w:r>
    </w:p>
    <w:p>
      <w:pPr>
        <w:pStyle w:val="19"/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371975" cy="495300"/>
            <wp:effectExtent l="0" t="0" r="9525" b="0"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r>
        <w:drawing>
          <wp:inline distT="0" distB="0" distL="114300" distR="114300">
            <wp:extent cx="5273040" cy="841375"/>
            <wp:effectExtent l="0" t="0" r="3810" b="15875"/>
            <wp:docPr id="10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63" w:name="_Toc14134"/>
      <w:bookmarkStart w:id="64" w:name="_Toc30015"/>
      <w:bookmarkStart w:id="65" w:name="_Toc5976"/>
      <w:r>
        <w:rPr>
          <w:rFonts w:hint="eastAsia"/>
          <w:lang w:val="en-US" w:eastAsia="zh-CN"/>
        </w:rPr>
        <w:t>数据存档</w:t>
      </w:r>
      <w:bookmarkEnd w:id="63"/>
      <w:bookmarkEnd w:id="64"/>
      <w:bookmarkEnd w:id="65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系统在生成电子台账时，会把【研发费用明细采集】中的数据清空，并把数据转存到【研发费用明细存档】中。【研究费用明细存档】中的存档数据，与生成的电子台账相互关联。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66" w:name="_Toc30306"/>
      <w:r>
        <w:rPr>
          <w:rFonts w:hint="eastAsia"/>
          <w:lang w:val="en-US" w:eastAsia="zh-CN"/>
        </w:rPr>
        <w:t>业务及功能描述</w:t>
      </w:r>
      <w:bookmarkEnd w:id="66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数据存档主要是保存已经生成电子台账后的明细数据，用于对数据进行归档、溯源与核查。数据存档的系统功能操作如下。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用户登录系统后，在系统首页</w:t>
      </w:r>
      <w:r>
        <w:rPr>
          <w:rFonts w:hint="eastAsia"/>
          <w:lang w:val="en-US" w:eastAsia="zh-CN"/>
        </w:rPr>
        <w:t>依次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数据采集审核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→【数据存档】→【研发费用明细存档】，或</w:t>
      </w:r>
      <w:r>
        <w:rPr>
          <w:rFonts w:hint="default"/>
          <w:lang w:val="en-US" w:eastAsia="zh-CN"/>
        </w:rPr>
        <w:t>在系统左侧功能菜单依次点击【</w:t>
      </w:r>
      <w:r>
        <w:rPr>
          <w:rFonts w:hint="eastAsia"/>
          <w:lang w:val="en-US" w:eastAsia="zh-CN"/>
        </w:rPr>
        <w:t>研究费用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→【数据存档】→【研发费用明细存档】</w:t>
      </w:r>
      <w:r>
        <w:rPr>
          <w:rFonts w:hint="default"/>
          <w:lang w:val="en-US" w:eastAsia="zh-CN"/>
        </w:rPr>
        <w:t>，进入到【</w:t>
      </w:r>
      <w:r>
        <w:rPr>
          <w:rFonts w:hint="eastAsia"/>
          <w:lang w:val="en-US" w:eastAsia="zh-CN"/>
        </w:rPr>
        <w:t>研发费用明细存档</w:t>
      </w:r>
      <w:r>
        <w:rPr>
          <w:rFonts w:hint="default"/>
          <w:lang w:val="en-US" w:eastAsia="zh-CN"/>
        </w:rPr>
        <w:t>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用户可查阅【研发费用明细存档】的数据详情，并支持对数据进行查询、导出的操作。</w:t>
      </w:r>
    </w:p>
    <w:p>
      <w:pPr>
        <w:pStyle w:val="19"/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0500" cy="1403985"/>
            <wp:effectExtent l="0" t="0" r="6350" b="5715"/>
            <wp:docPr id="11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default"/>
          <w:lang w:val="en-US" w:eastAsia="zh-CN"/>
        </w:rPr>
      </w:pPr>
      <w:bookmarkStart w:id="67" w:name="_Toc18917"/>
      <w:r>
        <w:rPr>
          <w:rFonts w:hint="eastAsia"/>
          <w:lang w:val="en-US" w:eastAsia="zh-CN"/>
        </w:rPr>
        <w:t>操作步骤</w:t>
      </w:r>
      <w:bookmarkEnd w:id="67"/>
    </w:p>
    <w:p>
      <w:pPr>
        <w:pStyle w:val="6"/>
        <w:bidi w:val="0"/>
        <w:ind w:left="1008" w:leftChars="0" w:hanging="1008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系统根据名称、所属台账、所属一套表来对【研发费用明细存档】的数据进行查询（支持组合查询）。在查询框中输入查询条件后，点击【查询】按钮，即可查询相关数据信息。</w:t>
      </w:r>
    </w:p>
    <w:p>
      <w:pPr>
        <w:pStyle w:val="19"/>
        <w:bidi w:val="0"/>
      </w:pPr>
      <w:r>
        <w:drawing>
          <wp:inline distT="0" distB="0" distL="114300" distR="114300">
            <wp:extent cx="5267325" cy="310515"/>
            <wp:effectExtent l="0" t="0" r="9525" b="13335"/>
            <wp:docPr id="1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1008" w:leftChars="0" w:hanging="1008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导出</w:t>
      </w:r>
      <w:r>
        <w:rPr>
          <w:rFonts w:hint="eastAsia"/>
          <w:lang w:val="en-US" w:eastAsia="zh-CN"/>
        </w:rPr>
        <w:t>Excel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以excel表格的形式导出【研发费用明细存档】的数据。在导出数据之前，可先根据需要对【研发费用明细存档】的数据进行筛选查询，然后点击【导出Excel】，在弹出的窗口选择导出的路径后，点击【保存】，完成数据的导出。</w:t>
      </w:r>
    </w:p>
    <w:p>
      <w:pPr>
        <w:pStyle w:val="19"/>
        <w:bidi w:val="0"/>
      </w:pPr>
      <w:r>
        <w:drawing>
          <wp:inline distT="0" distB="0" distL="114300" distR="114300">
            <wp:extent cx="2952750" cy="714375"/>
            <wp:effectExtent l="0" t="0" r="0" b="9525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highlight w:val="none"/>
          <w:lang w:val="en-US" w:eastAsia="zh-CN"/>
        </w:rPr>
      </w:pPr>
      <w:bookmarkStart w:id="68" w:name="_Toc28776"/>
      <w:bookmarkStart w:id="69" w:name="_Toc21014"/>
      <w:bookmarkStart w:id="70" w:name="_Toc27071"/>
      <w:bookmarkStart w:id="71" w:name="_Toc21989"/>
      <w:r>
        <w:rPr>
          <w:rFonts w:hint="eastAsia"/>
          <w:highlight w:val="none"/>
          <w:lang w:val="en-US" w:eastAsia="zh-CN"/>
        </w:rPr>
        <w:t>凭证管理</w:t>
      </w:r>
      <w:bookmarkEnd w:id="68"/>
    </w:p>
    <w:p>
      <w:pPr>
        <w:pStyle w:val="3"/>
        <w:bidi w:val="0"/>
        <w:rPr>
          <w:rFonts w:hint="eastAsia"/>
          <w:lang w:val="en-US" w:eastAsia="zh-CN"/>
        </w:rPr>
      </w:pPr>
      <w:bookmarkStart w:id="72" w:name="_Toc31195"/>
      <w:r>
        <w:rPr>
          <w:rFonts w:hint="eastAsia"/>
          <w:lang w:eastAsia="zh-CN"/>
        </w:rPr>
        <w:t>业务及功能描述</w:t>
      </w:r>
      <w:bookmarkEnd w:id="72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用户登录系统后，在系统左侧功能菜单点击【凭证管理】，进入到【凭证管理】功能界面。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用户可把生成电子台账与报表的凭证材料，上传到系统中进行保存，并与台账、报表进行关联，以便对电子台账、电子报表数据的原始凭证进行核查。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449070"/>
            <wp:effectExtent l="0" t="0" r="7620" b="17780"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3" w:name="_Toc19528"/>
      <w:r>
        <w:rPr>
          <w:rFonts w:hint="eastAsia"/>
          <w:lang w:val="en-US" w:eastAsia="zh-CN"/>
        </w:rPr>
        <w:t>操作步骤</w:t>
      </w:r>
      <w:bookmarkEnd w:id="73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凭证管理支持查询、新增、删除、编辑操作。</w:t>
      </w:r>
    </w:p>
    <w:p>
      <w:pPr>
        <w:pStyle w:val="4"/>
        <w:shd w:val="clear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新增凭证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第一步，点击“新增”按钮，跳转到新增凭证界面。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057525" cy="600075"/>
            <wp:effectExtent l="0" t="0" r="9525" b="952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第二步，选择关联的台账、报表（可以选择多个台账或者报表）。点击上传按钮，选择上传的凭证文件，点击打开，完成上传。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962910"/>
            <wp:effectExtent l="0" t="0" r="6985" b="889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第三步，点击“提交”，完成凭证文件的添加，或者点击“取消”，取消本次操作。</w:t>
      </w:r>
    </w:p>
    <w:p>
      <w:pPr>
        <w:jc w:val="center"/>
      </w:pPr>
      <w:r>
        <w:drawing>
          <wp:inline distT="0" distB="0" distL="114300" distR="114300">
            <wp:extent cx="1914525" cy="514350"/>
            <wp:effectExtent l="0" t="0" r="9525" b="0"/>
            <wp:docPr id="7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编辑凭证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第一步，点击“编辑”按钮，跳转到编辑界面。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298575"/>
            <wp:effectExtent l="0" t="0" r="6350" b="15875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第二步，编辑凭证管理信息。</w:t>
      </w:r>
    </w:p>
    <w:p>
      <w:pPr>
        <w:pStyle w:val="18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第三步，点击“提交”完成编辑，或者点击“取消”，取消本次操作。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14525" cy="514350"/>
            <wp:effectExtent l="0" t="0" r="9525" b="0"/>
            <wp:docPr id="8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删除凭证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一、批量删除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在凭证列表左侧勾选多个需要删除的凭证信息，点击凭证列表上端“删除”按钮，确定后批量删除选定的所有凭证信息。</w:t>
      </w:r>
    </w:p>
    <w:p>
      <w:pPr>
        <w:jc w:val="center"/>
      </w:pPr>
      <w:r>
        <w:drawing>
          <wp:inline distT="0" distB="0" distL="114300" distR="114300">
            <wp:extent cx="4610100" cy="1781810"/>
            <wp:effectExtent l="0" t="0" r="0" b="889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二、单个删除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点击凭证列表右侧“删除”按钮，确定后删除该条凭证信息。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172210"/>
            <wp:effectExtent l="0" t="0" r="6985" b="889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凭证查询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在凭证查询框中输入关键信息，点击“查询”按钮，查询凭证信息。</w:t>
      </w:r>
    </w:p>
    <w:p>
      <w:pPr>
        <w:jc w:val="center"/>
      </w:pPr>
      <w:r>
        <w:drawing>
          <wp:inline distT="0" distB="0" distL="114300" distR="114300">
            <wp:extent cx="5270500" cy="685165"/>
            <wp:effectExtent l="0" t="0" r="6350" b="635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凭证下载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一、批量下载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在凭证列表左侧勾选多个需要下载的凭证信息，点击凭证列表上端“批量下载”按钮，确定后批量下载选定的所有凭证材料。</w:t>
      </w:r>
    </w:p>
    <w:p>
      <w:pPr>
        <w:jc w:val="center"/>
      </w:pPr>
      <w:r>
        <w:drawing>
          <wp:inline distT="0" distB="0" distL="114300" distR="114300">
            <wp:extent cx="5271135" cy="1588770"/>
            <wp:effectExtent l="0" t="0" r="5715" b="1143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二、单个下载</w:t>
      </w:r>
    </w:p>
    <w:p>
      <w:pPr>
        <w:pStyle w:val="18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点击凭证列表右侧“下载”按钮，确定后下载该条凭证材料。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113155"/>
            <wp:effectExtent l="0" t="0" r="4445" b="10795"/>
            <wp:docPr id="1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74" w:name="_Toc17057"/>
      <w:r>
        <w:rPr>
          <w:rFonts w:hint="eastAsia"/>
          <w:lang w:eastAsia="zh-CN"/>
        </w:rPr>
        <w:t>电子台账</w:t>
      </w:r>
      <w:bookmarkEnd w:id="58"/>
      <w:bookmarkEnd w:id="69"/>
      <w:bookmarkEnd w:id="70"/>
      <w:bookmarkEnd w:id="71"/>
      <w:bookmarkEnd w:id="74"/>
    </w:p>
    <w:p>
      <w:pPr>
        <w:pStyle w:val="3"/>
        <w:bidi w:val="0"/>
        <w:ind w:left="575" w:leftChars="0" w:hanging="575" w:firstLineChars="0"/>
        <w:rPr>
          <w:rFonts w:hint="eastAsia"/>
          <w:lang w:eastAsia="zh-CN"/>
        </w:rPr>
      </w:pPr>
      <w:bookmarkStart w:id="75" w:name="_Toc17689"/>
      <w:bookmarkStart w:id="76" w:name="_Toc1353"/>
      <w:bookmarkStart w:id="77" w:name="_Toc22391"/>
      <w:bookmarkStart w:id="78" w:name="_Toc7744"/>
      <w:bookmarkStart w:id="79" w:name="_Toc10472"/>
      <w:r>
        <w:rPr>
          <w:rFonts w:hint="eastAsia"/>
          <w:lang w:eastAsia="zh-CN"/>
        </w:rPr>
        <w:t>业务及功能描述</w:t>
      </w:r>
      <w:bookmarkEnd w:id="75"/>
      <w:bookmarkEnd w:id="76"/>
      <w:bookmarkEnd w:id="77"/>
      <w:bookmarkEnd w:id="78"/>
      <w:bookmarkEnd w:id="79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用户登录系统后，在系统首页点击【电子台账】，或者在系统左侧功能菜单点击【电子台账】，进入到【电子台账】功能界面。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电子台账根据研发费用明细采集的数据，按季度来生成研究开发账页。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广西企业电子统计台账系统在生成电子台账后，系统会清空【数据采集】中的数据，并把数据转存至【数据存档】中。【数据存档】中的数据和生成的电子台账存在互相对应的关系。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支持同一个季度生成多份电子台账，系统通过台账名称来区别不同的电子台账记录。</w:t>
      </w:r>
    </w:p>
    <w:p>
      <w:pPr>
        <w:pStyle w:val="19"/>
        <w:bidi w:val="0"/>
      </w:pPr>
      <w:r>
        <w:drawing>
          <wp:inline distT="0" distB="0" distL="114300" distR="114300">
            <wp:extent cx="5271135" cy="1701165"/>
            <wp:effectExtent l="0" t="0" r="5715" b="13335"/>
            <wp:docPr id="1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80" w:name="_Toc10556"/>
      <w:bookmarkStart w:id="81" w:name="_Toc30827"/>
      <w:bookmarkStart w:id="82" w:name="_Toc26121"/>
      <w:bookmarkStart w:id="83" w:name="_Toc9097"/>
      <w:r>
        <w:rPr>
          <w:rFonts w:hint="eastAsia"/>
          <w:lang w:val="en-US" w:eastAsia="zh-CN"/>
        </w:rPr>
        <w:t>操作步骤</w:t>
      </w:r>
      <w:bookmarkEnd w:id="80"/>
      <w:bookmarkEnd w:id="81"/>
      <w:bookmarkEnd w:id="82"/>
      <w:bookmarkEnd w:id="83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系统支持预览台账、生成电子台账、查询、删除、修改等操作。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84" w:name="_Toc18919"/>
      <w:r>
        <w:rPr>
          <w:rFonts w:hint="eastAsia"/>
          <w:lang w:val="en-US" w:eastAsia="zh-CN"/>
        </w:rPr>
        <w:t>生成电子台账</w:t>
      </w:r>
      <w:bookmarkEnd w:id="84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生成某个季度的电子台账前，要确认【数据采集】中存在该季度的数据。具体操作步骤如下：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第一步，进入系统电子台账界面，点击【生成电子台账】，弹出生成电子台账的窗口。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257550" cy="485775"/>
            <wp:effectExtent l="0" t="0" r="0" b="9525"/>
            <wp:docPr id="1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第二步，选择需要生成的季度点击【生成】，生成所选季度的电子台账；或者点击【关闭】，取消电子台账的生成。</w:t>
      </w:r>
    </w:p>
    <w:p>
      <w:pPr>
        <w:pStyle w:val="19"/>
        <w:bidi w:val="0"/>
      </w:pPr>
      <w:r>
        <w:drawing>
          <wp:inline distT="0" distB="0" distL="114300" distR="114300">
            <wp:extent cx="5269865" cy="2901315"/>
            <wp:effectExtent l="0" t="0" r="6985" b="13335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0700" cy="514350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预览台账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点击“预览台账”按钮，跳转到生成预览台账功能界面。可在生成正式台账前，预览和检查电子台账数据。生成预览台账的基本操作与生成电子台账一致。</w:t>
      </w:r>
    </w:p>
    <w:p>
      <w:pPr>
        <w:pStyle w:val="19"/>
        <w:bidi w:val="0"/>
      </w:pPr>
      <w:r>
        <w:drawing>
          <wp:inline distT="0" distB="0" distL="114300" distR="114300">
            <wp:extent cx="3762375" cy="571500"/>
            <wp:effectExtent l="0" t="0" r="9525" b="0"/>
            <wp:docPr id="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622425"/>
            <wp:effectExtent l="0" t="0" r="11430" b="158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85" w:name="_Toc8280"/>
      <w:r>
        <w:rPr>
          <w:rFonts w:hint="eastAsia"/>
          <w:lang w:val="en-US" w:eastAsia="zh-CN"/>
        </w:rPr>
        <w:t>查询电子台账</w:t>
      </w:r>
      <w:bookmarkEnd w:id="85"/>
    </w:p>
    <w:p>
      <w:pPr>
        <w:pStyle w:val="18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系统支持根据名称和季度来查询电子台账信息。在查询框中输入查询的关键字，然后点击【查询】按钮，可根据查询条件来筛选需要的电子台账记录信息。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75920"/>
            <wp:effectExtent l="0" t="0" r="5715" b="5080"/>
            <wp:docPr id="12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86" w:name="_Toc17545"/>
      <w:r>
        <w:rPr>
          <w:rFonts w:hint="eastAsia"/>
          <w:lang w:val="en-US" w:eastAsia="zh-CN"/>
        </w:rPr>
        <w:t>查看与导出电子台账</w:t>
      </w:r>
      <w:bookmarkEnd w:id="86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点击电子台账的名称，可查看这个季度的电子台账详情。</w:t>
      </w:r>
    </w:p>
    <w:p>
      <w:pPr>
        <w:pStyle w:val="19"/>
        <w:bidi w:val="0"/>
      </w:pPr>
      <w:r>
        <w:drawing>
          <wp:inline distT="0" distB="0" distL="114300" distR="114300">
            <wp:extent cx="5272405" cy="1100455"/>
            <wp:effectExtent l="0" t="0" r="444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在查看电子台账详情界面，点击【导出Excel】，选择导出的路径后，点击【保存】，可以把该电子台账导出到本地电脑。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205230"/>
            <wp:effectExtent l="0" t="0" r="1143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修改电子台账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系统支持对电子台账进行修改，并保存修改的记录。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第一步，在查看电子台账详情页面，点击修改按钮。电子台账变成可编辑状态。</w:t>
      </w:r>
    </w:p>
    <w:p>
      <w:pPr>
        <w:pStyle w:val="19"/>
        <w:bidi w:val="0"/>
      </w:pPr>
      <w:r>
        <w:drawing>
          <wp:inline distT="0" distB="0" distL="114300" distR="114300">
            <wp:extent cx="2476500" cy="552450"/>
            <wp:effectExtent l="0" t="0" r="0" b="0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第二步，修改电子台账数据信息。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89555"/>
            <wp:effectExtent l="0" t="0" r="10160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第三步，点击“保存”按钮，在弹出的窗口填写修改理由后，点击“确定”按钮。完成电子台账的编辑。</w:t>
      </w:r>
    </w:p>
    <w:p>
      <w:pPr>
        <w:pStyle w:val="19"/>
        <w:bidi w:val="0"/>
      </w:pPr>
      <w:r>
        <w:drawing>
          <wp:inline distT="0" distB="0" distL="114300" distR="114300">
            <wp:extent cx="3219450" cy="600075"/>
            <wp:effectExtent l="0" t="0" r="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96690"/>
            <wp:effectExtent l="0" t="0" r="4445" b="3810"/>
            <wp:docPr id="10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二、修改记录查看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点击“修改记录”按钮，查看用户对电子台账的修改记录信息。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200400" cy="523875"/>
            <wp:effectExtent l="0" t="0" r="0" b="952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067435"/>
            <wp:effectExtent l="0" t="0" r="6350" b="184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87" w:name="_Toc2267"/>
      <w:r>
        <w:rPr>
          <w:rFonts w:hint="eastAsia"/>
          <w:lang w:val="en-US" w:eastAsia="zh-CN"/>
        </w:rPr>
        <w:t>删除电子台账</w:t>
      </w:r>
      <w:bookmarkEnd w:id="87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删除电子台账分为批量删除和单个删除两种方式，删除电子台账时与之对应的电子报表会被同步删除。可在回收站中查看被删除的电子台账，回收站的数据可以还原，不可清空。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批量删除：点击列表左侧【方框】打√，选中需要删除的数据后，点击数据列表上方【删除】按钮，在弹出的确认删除对话框中点击【确定】，批量删除所有选中的电子台账到回收站中。</w:t>
      </w:r>
    </w:p>
    <w:p>
      <w:pPr>
        <w:pStyle w:val="19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348105"/>
            <wp:effectExtent l="0" t="0" r="12065" b="4445"/>
            <wp:docPr id="1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单个删除：点击电子台账列表右侧【删除】按钮，在弹出的确认删除对话框中点击【确定】，删除该条电子台账到回收站中。</w:t>
      </w:r>
    </w:p>
    <w:p>
      <w:pPr>
        <w:pStyle w:val="19"/>
        <w:bidi w:val="0"/>
      </w:pPr>
      <w:r>
        <w:drawing>
          <wp:inline distT="0" distB="0" distL="114300" distR="114300">
            <wp:extent cx="5267960" cy="1184275"/>
            <wp:effectExtent l="0" t="0" r="8890" b="15875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生成采集数据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点击生成采集数据，把生成电子台账的明细数据，作为新采集的数据恢复到数据采集中。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143000"/>
            <wp:effectExtent l="0" t="0" r="6985" b="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88" w:name="_Toc24058"/>
      <w:bookmarkStart w:id="89" w:name="_Toc13139"/>
      <w:bookmarkStart w:id="90" w:name="_Toc29411"/>
      <w:bookmarkStart w:id="91" w:name="_Toc20214"/>
      <w:r>
        <w:rPr>
          <w:rFonts w:hint="eastAsia"/>
          <w:lang w:val="en-US" w:eastAsia="zh-CN"/>
        </w:rPr>
        <w:t>电子报表</w:t>
      </w:r>
      <w:bookmarkEnd w:id="88"/>
      <w:bookmarkEnd w:id="89"/>
      <w:bookmarkEnd w:id="90"/>
      <w:bookmarkEnd w:id="91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92" w:name="_Toc29382"/>
      <w:bookmarkStart w:id="93" w:name="_Toc19413"/>
      <w:bookmarkStart w:id="94" w:name="_Toc20058"/>
      <w:bookmarkStart w:id="95" w:name="_Toc20398"/>
      <w:r>
        <w:rPr>
          <w:rFonts w:hint="eastAsia"/>
          <w:lang w:val="en-US" w:eastAsia="zh-CN"/>
        </w:rPr>
        <w:t>业务及功能描述</w:t>
      </w:r>
      <w:bookmarkEnd w:id="92"/>
      <w:bookmarkEnd w:id="93"/>
      <w:bookmarkEnd w:id="94"/>
      <w:bookmarkEnd w:id="95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用户登录系统后，在系统首页点击【电子报表】，或者在系统左侧功能菜单点击【电子报表】，进入到【电子报表】功能界面。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依据当年四个季度的研究开发账页，按年度生成研究开发账页汇总表。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595755"/>
            <wp:effectExtent l="0" t="0" r="13970" b="4445"/>
            <wp:docPr id="12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96" w:name="_Toc3948"/>
      <w:bookmarkStart w:id="97" w:name="_Toc20569"/>
      <w:bookmarkStart w:id="98" w:name="_Toc25104"/>
      <w:bookmarkStart w:id="99" w:name="_Toc1466"/>
      <w:r>
        <w:rPr>
          <w:rFonts w:hint="eastAsia"/>
          <w:lang w:val="en-US" w:eastAsia="zh-CN"/>
        </w:rPr>
        <w:t>操作步骤</w:t>
      </w:r>
      <w:bookmarkEnd w:id="96"/>
      <w:bookmarkEnd w:id="97"/>
      <w:bookmarkEnd w:id="98"/>
      <w:bookmarkEnd w:id="99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00" w:name="_Toc6749"/>
      <w:r>
        <w:rPr>
          <w:rFonts w:hint="eastAsia"/>
          <w:lang w:val="en-US" w:eastAsia="zh-CN"/>
        </w:rPr>
        <w:t>生成电子报表</w:t>
      </w:r>
      <w:bookmarkEnd w:id="100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生成某个年份的电子报表前，要先生成该年份四个季度的【电子台账】。</w:t>
      </w:r>
      <w:r>
        <w:rPr>
          <w:rFonts w:hint="eastAsia"/>
          <w:color w:val="auto"/>
          <w:lang w:val="en-US" w:eastAsia="zh-CN"/>
        </w:rPr>
        <w:t>生成电子报表的具体操作步骤如下：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第一步，进入电子报表界面，点击【生成电子报表】，弹出生成电子报表的窗口。</w:t>
      </w:r>
    </w:p>
    <w:p>
      <w:pPr>
        <w:pStyle w:val="19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95725" cy="571500"/>
            <wp:effectExtent l="0" t="0" r="9525" b="0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第二步，选择生成电子报表的年份。点击【生成】，生成所选年份的电子报表；或者点击【关闭】，取消电子报表的生成。</w:t>
      </w:r>
    </w:p>
    <w:p>
      <w:pPr>
        <w:pStyle w:val="19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76775" cy="2247900"/>
            <wp:effectExtent l="0" t="0" r="9525" b="0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01" w:name="_Toc25803"/>
      <w:r>
        <w:rPr>
          <w:rFonts w:hint="eastAsia"/>
          <w:lang w:val="en-US" w:eastAsia="zh-CN"/>
        </w:rPr>
        <w:t>查询电子报表</w:t>
      </w:r>
      <w:bookmarkEnd w:id="101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系统支持根据名称和年份来查询电子报表信息。在查询框中输入查询的关键字，然后点击【查询】按钮，根据查询条件来筛选需要的电子报表记录信息。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09575"/>
            <wp:effectExtent l="0" t="0" r="7620" b="9525"/>
            <wp:docPr id="1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02" w:name="_Toc23039"/>
      <w:r>
        <w:rPr>
          <w:rFonts w:hint="eastAsia"/>
          <w:lang w:val="en-US" w:eastAsia="zh-CN"/>
        </w:rPr>
        <w:t>查看、修改与导出电子报表</w:t>
      </w:r>
      <w:bookmarkEnd w:id="102"/>
    </w:p>
    <w:p>
      <w:pPr>
        <w:pStyle w:val="18"/>
        <w:numPr>
          <w:ilvl w:val="0"/>
          <w:numId w:val="6"/>
        </w:numPr>
        <w:bidi w:val="0"/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查看、修改与导出电子报表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第一，查看电子报表详情：点击电子报表的名称，可查看这个电子报表的详情。对不符合审核关系的指标数据，系统会进行提醒。</w:t>
      </w:r>
    </w:p>
    <w:p>
      <w:pPr>
        <w:pStyle w:val="19"/>
        <w:bidi w:val="0"/>
      </w:pPr>
      <w:r>
        <w:drawing>
          <wp:inline distT="0" distB="0" distL="114300" distR="114300">
            <wp:extent cx="5268595" cy="1256030"/>
            <wp:effectExtent l="0" t="0" r="8255" b="12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</w:pPr>
      <w:r>
        <w:drawing>
          <wp:inline distT="0" distB="0" distL="114300" distR="114300">
            <wp:extent cx="5269865" cy="2787650"/>
            <wp:effectExtent l="0" t="0" r="6985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第二，导出电子报表：在查看电子报表详情界面，点击【导出Excel】，在弹出的窗口中选择导出的路径后，点击【保存】，可以把【电子报表】导出到本地电脑。</w:t>
      </w:r>
    </w:p>
    <w:p>
      <w:pPr>
        <w:pStyle w:val="19"/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572770"/>
            <wp:effectExtent l="0" t="0" r="2540" b="1778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修改电子报表：在查看电子报表详情界面，点击【修改】，电子报表变为可编辑状态，可以对电子报表的数据进行</w:t>
      </w:r>
      <w:r>
        <w:rPr>
          <w:rFonts w:hint="eastAsia"/>
          <w:lang w:val="en-US" w:eastAsia="zh-CN"/>
        </w:rPr>
        <w:t>修改完善</w:t>
      </w:r>
      <w:r>
        <w:rPr>
          <w:rFonts w:hint="eastAsia"/>
          <w:lang w:eastAsia="zh-CN"/>
        </w:rPr>
        <w:t>。修改完成后点击【保存】，</w:t>
      </w:r>
      <w:r>
        <w:rPr>
          <w:rFonts w:hint="eastAsia"/>
          <w:lang w:val="en-US" w:eastAsia="zh-CN"/>
        </w:rPr>
        <w:t>继续填写修改原因后点击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确认</w:t>
      </w:r>
      <w:r>
        <w:rPr>
          <w:rFonts w:hint="eastAsia"/>
          <w:lang w:eastAsia="zh-CN"/>
        </w:rPr>
        <w:t>】，完成对电子报表的修改；或者点击【取消】，取消本次修改。</w:t>
      </w:r>
    </w:p>
    <w:p>
      <w:pPr>
        <w:pStyle w:val="19"/>
        <w:bidi w:val="0"/>
      </w:pPr>
      <w:r>
        <w:drawing>
          <wp:inline distT="0" distB="0" distL="114300" distR="114300">
            <wp:extent cx="2476500" cy="447675"/>
            <wp:effectExtent l="0" t="0" r="0" b="952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71770" cy="2656840"/>
            <wp:effectExtent l="0" t="0" r="5080" b="10160"/>
            <wp:docPr id="13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jc w:val="center"/>
      </w:pPr>
      <w:r>
        <w:drawing>
          <wp:inline distT="0" distB="0" distL="114300" distR="114300">
            <wp:extent cx="5200650" cy="4029075"/>
            <wp:effectExtent l="0" t="0" r="0" b="9525"/>
            <wp:docPr id="1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03" w:name="_Toc21268"/>
      <w:r>
        <w:rPr>
          <w:rFonts w:hint="eastAsia"/>
          <w:lang w:val="en-US" w:eastAsia="zh-CN"/>
        </w:rPr>
        <w:t>删除电子报表</w:t>
      </w:r>
      <w:bookmarkEnd w:id="103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删除电子报表分为批量删除和单个删除两种方式，删除电子报表时与之对应的电子台账会被同步删除。可在回收站中查看被删除的电子报表，回收站的数据可以还原，不可清空。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批量删除：点击电子报表列表左侧【方框】打√，选中需要删除的数据后，点击列表上方【删除】按钮，在弹出的确认删除对话框中点击【确定】，即可批量删除所有选中的电子报表到回收站中。</w:t>
      </w:r>
    </w:p>
    <w:p>
      <w:pPr>
        <w:pStyle w:val="19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15110"/>
            <wp:effectExtent l="0" t="0" r="6350" b="8890"/>
            <wp:docPr id="14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单个删除：点击电子报表列表右侧【删除】按钮，在弹出的确认删除对话框中点击【确定】，删除该条电子报表到回收站中。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562735"/>
            <wp:effectExtent l="0" t="0" r="5080" b="18415"/>
            <wp:docPr id="14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104" w:name="_Toc1661"/>
      <w:bookmarkStart w:id="105" w:name="_Toc6963"/>
      <w:bookmarkStart w:id="106" w:name="_Toc14187"/>
      <w:r>
        <w:rPr>
          <w:rFonts w:hint="eastAsia"/>
          <w:lang w:val="en-US" w:eastAsia="zh-CN"/>
        </w:rPr>
        <w:t>回收站</w:t>
      </w:r>
      <w:bookmarkEnd w:id="104"/>
      <w:bookmarkEnd w:id="105"/>
      <w:bookmarkEnd w:id="106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07" w:name="_Toc12396"/>
      <w:bookmarkStart w:id="108" w:name="_Toc4278"/>
      <w:bookmarkStart w:id="109" w:name="_Toc29070"/>
      <w:r>
        <w:rPr>
          <w:rFonts w:hint="eastAsia"/>
          <w:lang w:val="en-US" w:eastAsia="zh-CN"/>
        </w:rPr>
        <w:t>业务及功能描述</w:t>
      </w:r>
      <w:bookmarkEnd w:id="107"/>
      <w:bookmarkEnd w:id="108"/>
      <w:bookmarkEnd w:id="109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用户登录系统后，在系统左侧功能菜单点击【回收站】，进入到【回收站】功能界面。</w:t>
      </w:r>
    </w:p>
    <w:p>
      <w:pPr>
        <w:pStyle w:val="18"/>
        <w:bidi w:val="0"/>
        <w:rPr>
          <w:rFonts w:hint="eastAsia" w:cs="宋体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val="en-US" w:eastAsia="zh-CN"/>
        </w:rPr>
        <w:t>广西企业电子统计台账系统【回收站】存储的是被用户删除的电子台账与电子报表。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回收站的数据可还原，但回收站内数据不可</w:t>
      </w:r>
      <w:r>
        <w:rPr>
          <w:rFonts w:hint="eastAsia" w:cs="宋体"/>
          <w:kern w:val="2"/>
          <w:sz w:val="21"/>
          <w:szCs w:val="21"/>
          <w:lang w:val="en-US" w:eastAsia="zh-CN" w:bidi="ar-SA"/>
        </w:rPr>
        <w:t>再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删除，不可清空</w:t>
      </w:r>
      <w:r>
        <w:rPr>
          <w:rFonts w:hint="eastAsia" w:cs="宋体"/>
          <w:kern w:val="2"/>
          <w:sz w:val="21"/>
          <w:szCs w:val="21"/>
          <w:lang w:val="en-US" w:eastAsia="zh-CN" w:bidi="ar-SA"/>
        </w:rPr>
        <w:t>。</w:t>
      </w:r>
    </w:p>
    <w:p>
      <w:pPr>
        <w:pStyle w:val="19"/>
        <w:bidi w:val="0"/>
        <w:rPr>
          <w:rFonts w:hint="eastAsia" w:cs="宋体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71770" cy="2015490"/>
            <wp:effectExtent l="0" t="0" r="5080" b="3810"/>
            <wp:docPr id="14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0" w:name="_Toc20722"/>
      <w:bookmarkStart w:id="111" w:name="_Toc2298"/>
      <w:bookmarkStart w:id="112" w:name="_Toc13680"/>
      <w:r>
        <w:rPr>
          <w:rFonts w:hint="eastAsia"/>
          <w:lang w:val="en-US" w:eastAsia="zh-CN"/>
        </w:rPr>
        <w:t>操作步骤</w:t>
      </w:r>
      <w:bookmarkEnd w:id="110"/>
      <w:bookmarkEnd w:id="111"/>
      <w:bookmarkEnd w:id="112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13" w:name="_Toc5120"/>
      <w:r>
        <w:rPr>
          <w:rFonts w:hint="eastAsia"/>
          <w:lang w:val="en-US" w:eastAsia="zh-CN"/>
        </w:rPr>
        <w:t>还原电子台账</w:t>
      </w:r>
      <w:bookmarkEnd w:id="113"/>
      <w:r>
        <w:rPr>
          <w:rFonts w:hint="eastAsia"/>
          <w:lang w:val="en-US" w:eastAsia="zh-CN"/>
        </w:rPr>
        <w:t>或电子报表</w:t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还原电子台账或电子报表，分为批量还原和单个还原两种方式。</w:t>
      </w:r>
      <w:r>
        <w:rPr>
          <w:rFonts w:hint="eastAsia"/>
          <w:color w:val="auto"/>
          <w:lang w:val="en-US" w:eastAsia="zh-CN"/>
        </w:rPr>
        <w:t>具体操作步骤如下：</w:t>
      </w:r>
    </w:p>
    <w:p>
      <w:pPr>
        <w:pStyle w:val="18"/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首先，选择需要还原电子台账或电子报表类型</w:t>
      </w:r>
    </w:p>
    <w:p>
      <w:pPr>
        <w:pStyle w:val="19"/>
        <w:bidi w:val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69230" cy="970915"/>
            <wp:effectExtent l="0" t="0" r="7620" b="635"/>
            <wp:docPr id="1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批量还原：点击列表左侧【方框】打√，选中需要还原的数据后，点击列表上方【还原】按钮，在弹出的确认还原对话框中点击【确定】，批量还原所有选中的电子台账或报表。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435100"/>
            <wp:effectExtent l="0" t="0" r="6350" b="12700"/>
            <wp:docPr id="14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单个还原：点击数据列表右侧【还原】按钮，在弹出的确认还原对话框中点击【确定】，还原该条的电子台账或电子报表。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329055"/>
            <wp:effectExtent l="0" t="0" r="3175" b="4445"/>
            <wp:docPr id="14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114" w:name="_Toc22027"/>
      <w:bookmarkStart w:id="115" w:name="_Toc20261"/>
      <w:bookmarkStart w:id="116" w:name="_Toc13082"/>
      <w:r>
        <w:rPr>
          <w:rFonts w:hint="eastAsia"/>
          <w:lang w:val="en-US" w:eastAsia="zh-CN"/>
        </w:rPr>
        <w:t>数据备份与恢复</w:t>
      </w:r>
      <w:bookmarkEnd w:id="114"/>
      <w:bookmarkEnd w:id="115"/>
      <w:bookmarkEnd w:id="116"/>
    </w:p>
    <w:p>
      <w:pPr>
        <w:pStyle w:val="3"/>
        <w:bidi w:val="0"/>
        <w:rPr>
          <w:rFonts w:hint="default"/>
          <w:lang w:val="en-US" w:eastAsia="zh-CN"/>
        </w:rPr>
      </w:pPr>
      <w:bookmarkStart w:id="117" w:name="_Toc23866"/>
      <w:bookmarkStart w:id="118" w:name="_Toc20237"/>
      <w:bookmarkStart w:id="119" w:name="_Toc15770"/>
      <w:r>
        <w:rPr>
          <w:rFonts w:hint="eastAsia"/>
          <w:lang w:val="en-US" w:eastAsia="zh-CN"/>
        </w:rPr>
        <w:t>数据备份</w:t>
      </w:r>
      <w:bookmarkEnd w:id="117"/>
      <w:bookmarkEnd w:id="118"/>
      <w:bookmarkEnd w:id="119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第一步，使用管理员用户登录系统，在左侧功能菜单依次点击系统管理→数据管理，进入到数据管理界面。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461260"/>
            <wp:effectExtent l="0" t="0" r="1270" b="15240"/>
            <wp:docPr id="14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第二，点击【数据备份并下载】，弹出确定窗口，点击【取消】取消备份操作，点击【确定】开始数据备份。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809875" cy="1123950"/>
            <wp:effectExtent l="0" t="0" r="9525" b="0"/>
            <wp:docPr id="13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14925" cy="1562100"/>
            <wp:effectExtent l="0" t="0" r="9525" b="0"/>
            <wp:docPr id="13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第三步，耐心等待数据备份（数据量越大，等待时间越久），数据备份过程不要关闭软件。等待弹出备份数据保存的窗口，选择路径后点击【保存】按钮，完成数据的备份。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546600"/>
            <wp:effectExtent l="0" t="0" r="4445" b="635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20" w:name="_Toc13396"/>
      <w:bookmarkStart w:id="121" w:name="_Toc29017"/>
      <w:bookmarkStart w:id="122" w:name="_Toc13651"/>
      <w:r>
        <w:rPr>
          <w:rFonts w:hint="eastAsia"/>
          <w:lang w:val="en-US" w:eastAsia="zh-CN"/>
        </w:rPr>
        <w:t>数据恢复</w:t>
      </w:r>
      <w:bookmarkEnd w:id="120"/>
      <w:bookmarkEnd w:id="121"/>
      <w:bookmarkEnd w:id="122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注：数据恢复需要有已经备份数据的数据。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第一步，使用管理员用户登录系统，在左侧功能菜单依次点击系统管理→数据管理，进入到数据管理界面。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9230" cy="2436495"/>
            <wp:effectExtent l="0" t="0" r="7620" b="1905"/>
            <wp:docPr id="13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6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第二步，点击【数据恢复/结构更新】，弹出确定窗口，点击【取消】取消恢复操作，点击【选取文件】，选择恢复的备份数据文件。选择文件后，点击【确定】，开始数据恢复操作。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628900" cy="895350"/>
            <wp:effectExtent l="0" t="0" r="0" b="0"/>
            <wp:docPr id="15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26660" cy="3895725"/>
            <wp:effectExtent l="0" t="0" r="2540" b="9525"/>
            <wp:docPr id="15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179695" cy="4474210"/>
            <wp:effectExtent l="0" t="0" r="1905" b="2540"/>
            <wp:docPr id="15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8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920240"/>
            <wp:effectExtent l="0" t="0" r="3175" b="3810"/>
            <wp:docPr id="16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7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第三步，耐心等待数据恢复（数据量越大，等待时间越久），数据恢复过程不要关闭软件。数据恢复成功后，自动回到登录界面。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486150"/>
            <wp:effectExtent l="0" t="0" r="4445" b="0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3"/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 w:ascii="方正黑体简体" w:hAnsi="方正黑体简体" w:eastAsia="方正黑体简体" w:cs="方正黑体简体"/>
        <w:sz w:val="18"/>
        <w:szCs w:val="18"/>
      </w:rPr>
      <w:t>广西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企业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电子统计台账系统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3.0版本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用户使用手册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（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社科处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 w:ascii="方正黑体简体" w:hAnsi="方正黑体简体" w:eastAsia="方正黑体简体" w:cs="方正黑体简体"/>
        <w:sz w:val="18"/>
        <w:szCs w:val="18"/>
      </w:rPr>
      <w:t>广西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企业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电子统计台账系统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3.0版本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用户使用手册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（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社科处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）</w:t>
    </w:r>
  </w:p>
  <w:p>
    <w:pPr>
      <w:pStyle w:val="11"/>
      <w:rPr>
        <w:rFonts w:hint="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E3DFC1"/>
    <w:multiLevelType w:val="singleLevel"/>
    <w:tmpl w:val="8EE3DFC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AA005AC7"/>
    <w:multiLevelType w:val="singleLevel"/>
    <w:tmpl w:val="AA005AC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CFD75A7A"/>
    <w:multiLevelType w:val="multilevel"/>
    <w:tmpl w:val="CFD75A7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3">
    <w:nsid w:val="EBB7F35A"/>
    <w:multiLevelType w:val="singleLevel"/>
    <w:tmpl w:val="EBB7F35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b/>
        <w:bCs/>
      </w:rPr>
    </w:lvl>
  </w:abstractNum>
  <w:abstractNum w:abstractNumId="4">
    <w:nsid w:val="07BAF8FA"/>
    <w:multiLevelType w:val="singleLevel"/>
    <w:tmpl w:val="07BAF8F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DA649D2"/>
    <w:multiLevelType w:val="multilevel"/>
    <w:tmpl w:val="2DA649D2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68846D96"/>
    <w:multiLevelType w:val="singleLevel"/>
    <w:tmpl w:val="68846D96"/>
    <w:lvl w:ilvl="0" w:tentative="0">
      <w:start w:val="3"/>
      <w:numFmt w:val="chineseCounting"/>
      <w:suff w:val="nothing"/>
      <w:lvlText w:val="第%1，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zA5NTdlNGNiY2Y5NzkzNWY1OGU1MDM3YTc4YTIifQ=="/>
  </w:docVars>
  <w:rsids>
    <w:rsidRoot w:val="00172A27"/>
    <w:rsid w:val="004B2B21"/>
    <w:rsid w:val="006672AE"/>
    <w:rsid w:val="00716A3D"/>
    <w:rsid w:val="00755DF0"/>
    <w:rsid w:val="00A62B04"/>
    <w:rsid w:val="00AB3215"/>
    <w:rsid w:val="00AE2623"/>
    <w:rsid w:val="00DA0EBA"/>
    <w:rsid w:val="00F83093"/>
    <w:rsid w:val="011E3D92"/>
    <w:rsid w:val="01A74CAF"/>
    <w:rsid w:val="01AC5842"/>
    <w:rsid w:val="01CC3898"/>
    <w:rsid w:val="0250441F"/>
    <w:rsid w:val="02AF7F28"/>
    <w:rsid w:val="02CB4EE2"/>
    <w:rsid w:val="02CC3DCA"/>
    <w:rsid w:val="02DB7B66"/>
    <w:rsid w:val="03B03D9B"/>
    <w:rsid w:val="03CB72BF"/>
    <w:rsid w:val="03DA3C5D"/>
    <w:rsid w:val="03DA48E8"/>
    <w:rsid w:val="03F359AA"/>
    <w:rsid w:val="04194CE4"/>
    <w:rsid w:val="04291216"/>
    <w:rsid w:val="04511FFF"/>
    <w:rsid w:val="045E7F5E"/>
    <w:rsid w:val="04C50F8F"/>
    <w:rsid w:val="04E05DFC"/>
    <w:rsid w:val="052F2A11"/>
    <w:rsid w:val="054D142B"/>
    <w:rsid w:val="056D6190"/>
    <w:rsid w:val="05DB3F4A"/>
    <w:rsid w:val="066E1317"/>
    <w:rsid w:val="06716F04"/>
    <w:rsid w:val="069074E0"/>
    <w:rsid w:val="06E17A3F"/>
    <w:rsid w:val="07414C7E"/>
    <w:rsid w:val="074C100B"/>
    <w:rsid w:val="07C00E76"/>
    <w:rsid w:val="07EE0861"/>
    <w:rsid w:val="08114650"/>
    <w:rsid w:val="081C4DA3"/>
    <w:rsid w:val="08333C87"/>
    <w:rsid w:val="087B43C8"/>
    <w:rsid w:val="087E15BA"/>
    <w:rsid w:val="08975873"/>
    <w:rsid w:val="08F92CC9"/>
    <w:rsid w:val="08FD2E27"/>
    <w:rsid w:val="096E4102"/>
    <w:rsid w:val="0974248D"/>
    <w:rsid w:val="09774021"/>
    <w:rsid w:val="09802480"/>
    <w:rsid w:val="09AA34B7"/>
    <w:rsid w:val="09AD3BFF"/>
    <w:rsid w:val="09D7525B"/>
    <w:rsid w:val="0A0338DA"/>
    <w:rsid w:val="0A173A74"/>
    <w:rsid w:val="0A444A3D"/>
    <w:rsid w:val="0A5F6A9D"/>
    <w:rsid w:val="0A812653"/>
    <w:rsid w:val="0AB84F5E"/>
    <w:rsid w:val="0AFF1C45"/>
    <w:rsid w:val="0B2073F8"/>
    <w:rsid w:val="0B227B45"/>
    <w:rsid w:val="0B854033"/>
    <w:rsid w:val="0B8D0BBC"/>
    <w:rsid w:val="0BA77581"/>
    <w:rsid w:val="0BB171BF"/>
    <w:rsid w:val="0BF71DAF"/>
    <w:rsid w:val="0C0D512F"/>
    <w:rsid w:val="0C345FFA"/>
    <w:rsid w:val="0C6008CA"/>
    <w:rsid w:val="0C736C94"/>
    <w:rsid w:val="0CF43B30"/>
    <w:rsid w:val="0D0550DE"/>
    <w:rsid w:val="0D47360B"/>
    <w:rsid w:val="0D684E90"/>
    <w:rsid w:val="0DEC0073"/>
    <w:rsid w:val="0DEE75D1"/>
    <w:rsid w:val="0E207C65"/>
    <w:rsid w:val="0E356120"/>
    <w:rsid w:val="0E3A547E"/>
    <w:rsid w:val="0E62280C"/>
    <w:rsid w:val="0EC22051"/>
    <w:rsid w:val="0ECC12D1"/>
    <w:rsid w:val="0EDB6C1B"/>
    <w:rsid w:val="0EF57096"/>
    <w:rsid w:val="0F8E47D8"/>
    <w:rsid w:val="0FC1070A"/>
    <w:rsid w:val="10152C44"/>
    <w:rsid w:val="102246B2"/>
    <w:rsid w:val="102D5161"/>
    <w:rsid w:val="10406AC6"/>
    <w:rsid w:val="106A1297"/>
    <w:rsid w:val="106F63B8"/>
    <w:rsid w:val="108552A4"/>
    <w:rsid w:val="11731ED8"/>
    <w:rsid w:val="118542D3"/>
    <w:rsid w:val="11867082"/>
    <w:rsid w:val="1207125C"/>
    <w:rsid w:val="12214837"/>
    <w:rsid w:val="12296A3A"/>
    <w:rsid w:val="1239551A"/>
    <w:rsid w:val="125E66E4"/>
    <w:rsid w:val="12C7072D"/>
    <w:rsid w:val="13174AE5"/>
    <w:rsid w:val="137655F6"/>
    <w:rsid w:val="139E2B2E"/>
    <w:rsid w:val="139E33BA"/>
    <w:rsid w:val="141352AC"/>
    <w:rsid w:val="14357DE8"/>
    <w:rsid w:val="143D4D2B"/>
    <w:rsid w:val="144E6069"/>
    <w:rsid w:val="147020B9"/>
    <w:rsid w:val="14A90B77"/>
    <w:rsid w:val="14C12488"/>
    <w:rsid w:val="14DD2CD7"/>
    <w:rsid w:val="14E530ED"/>
    <w:rsid w:val="152B44FA"/>
    <w:rsid w:val="15B50AFC"/>
    <w:rsid w:val="162142FD"/>
    <w:rsid w:val="1663076D"/>
    <w:rsid w:val="168416E5"/>
    <w:rsid w:val="16911289"/>
    <w:rsid w:val="16A3350A"/>
    <w:rsid w:val="16BD2DDB"/>
    <w:rsid w:val="16FA2382"/>
    <w:rsid w:val="171C6B6E"/>
    <w:rsid w:val="172F39A0"/>
    <w:rsid w:val="17527FB4"/>
    <w:rsid w:val="178D5376"/>
    <w:rsid w:val="17CC6A83"/>
    <w:rsid w:val="180D7C95"/>
    <w:rsid w:val="181F1649"/>
    <w:rsid w:val="18456C42"/>
    <w:rsid w:val="187A6FD2"/>
    <w:rsid w:val="18A57F6D"/>
    <w:rsid w:val="18B3594F"/>
    <w:rsid w:val="18F7512B"/>
    <w:rsid w:val="190D7AB1"/>
    <w:rsid w:val="191C48A1"/>
    <w:rsid w:val="1944258F"/>
    <w:rsid w:val="19AB7C0A"/>
    <w:rsid w:val="19D9045E"/>
    <w:rsid w:val="1A4D1B4C"/>
    <w:rsid w:val="1ADC6D40"/>
    <w:rsid w:val="1AEB4AE0"/>
    <w:rsid w:val="1AEF4BA4"/>
    <w:rsid w:val="1B003A01"/>
    <w:rsid w:val="1B027E29"/>
    <w:rsid w:val="1B1A4276"/>
    <w:rsid w:val="1B3E3557"/>
    <w:rsid w:val="1B8B1FB9"/>
    <w:rsid w:val="1B9F38C9"/>
    <w:rsid w:val="1BAD05AF"/>
    <w:rsid w:val="1BCC553F"/>
    <w:rsid w:val="1C101AEC"/>
    <w:rsid w:val="1C121625"/>
    <w:rsid w:val="1C4A3777"/>
    <w:rsid w:val="1C7616B6"/>
    <w:rsid w:val="1CBB0BF9"/>
    <w:rsid w:val="1CD855D3"/>
    <w:rsid w:val="1CDE5BAA"/>
    <w:rsid w:val="1D090408"/>
    <w:rsid w:val="1D974B4F"/>
    <w:rsid w:val="1DF60CD5"/>
    <w:rsid w:val="1E30796C"/>
    <w:rsid w:val="1E896714"/>
    <w:rsid w:val="1EA30381"/>
    <w:rsid w:val="1EBD0C36"/>
    <w:rsid w:val="1F185E6D"/>
    <w:rsid w:val="1F9F2A03"/>
    <w:rsid w:val="1FAD1C4D"/>
    <w:rsid w:val="1FB93013"/>
    <w:rsid w:val="1FC55FF4"/>
    <w:rsid w:val="201E74B3"/>
    <w:rsid w:val="20305B5C"/>
    <w:rsid w:val="20564928"/>
    <w:rsid w:val="20EE356F"/>
    <w:rsid w:val="212E7BC9"/>
    <w:rsid w:val="2158503D"/>
    <w:rsid w:val="22030085"/>
    <w:rsid w:val="227A0B69"/>
    <w:rsid w:val="227F0D3F"/>
    <w:rsid w:val="232C638A"/>
    <w:rsid w:val="233E31D2"/>
    <w:rsid w:val="23960907"/>
    <w:rsid w:val="23A32D23"/>
    <w:rsid w:val="23AB6114"/>
    <w:rsid w:val="242F0A58"/>
    <w:rsid w:val="245F4115"/>
    <w:rsid w:val="24642246"/>
    <w:rsid w:val="247C5F34"/>
    <w:rsid w:val="249069D4"/>
    <w:rsid w:val="24942439"/>
    <w:rsid w:val="24A3442A"/>
    <w:rsid w:val="24AC1531"/>
    <w:rsid w:val="24CA59F2"/>
    <w:rsid w:val="252B3C86"/>
    <w:rsid w:val="2531406F"/>
    <w:rsid w:val="25425779"/>
    <w:rsid w:val="25627951"/>
    <w:rsid w:val="25EA2F59"/>
    <w:rsid w:val="263E6038"/>
    <w:rsid w:val="2655445C"/>
    <w:rsid w:val="26EC20B9"/>
    <w:rsid w:val="273C1A3A"/>
    <w:rsid w:val="273C2AD8"/>
    <w:rsid w:val="275A34C6"/>
    <w:rsid w:val="27DF1C1D"/>
    <w:rsid w:val="28013942"/>
    <w:rsid w:val="280C22E7"/>
    <w:rsid w:val="281008CE"/>
    <w:rsid w:val="282D551D"/>
    <w:rsid w:val="28527774"/>
    <w:rsid w:val="28B27332"/>
    <w:rsid w:val="29411536"/>
    <w:rsid w:val="296A4B2B"/>
    <w:rsid w:val="298C3324"/>
    <w:rsid w:val="29A3087E"/>
    <w:rsid w:val="29BF4B5D"/>
    <w:rsid w:val="2A1E5C2A"/>
    <w:rsid w:val="2A3419AD"/>
    <w:rsid w:val="2AA91E72"/>
    <w:rsid w:val="2B151983"/>
    <w:rsid w:val="2B4C38A9"/>
    <w:rsid w:val="2B795EE5"/>
    <w:rsid w:val="2B963D7D"/>
    <w:rsid w:val="2BDB44F0"/>
    <w:rsid w:val="2C3C763E"/>
    <w:rsid w:val="2C6F537B"/>
    <w:rsid w:val="2C9F6339"/>
    <w:rsid w:val="2CB01DDA"/>
    <w:rsid w:val="2CE720A3"/>
    <w:rsid w:val="2D0E7D49"/>
    <w:rsid w:val="2D1265F1"/>
    <w:rsid w:val="2D346567"/>
    <w:rsid w:val="2D3B5044"/>
    <w:rsid w:val="2D545241"/>
    <w:rsid w:val="2D5B032F"/>
    <w:rsid w:val="2E046FD0"/>
    <w:rsid w:val="2E4C5573"/>
    <w:rsid w:val="2E5104F1"/>
    <w:rsid w:val="2E517393"/>
    <w:rsid w:val="2E840E29"/>
    <w:rsid w:val="2E9A689E"/>
    <w:rsid w:val="2ED2559F"/>
    <w:rsid w:val="2EDF7533"/>
    <w:rsid w:val="2F477220"/>
    <w:rsid w:val="2F5051AF"/>
    <w:rsid w:val="2FAA2647"/>
    <w:rsid w:val="2FAB2DD7"/>
    <w:rsid w:val="2FD52A1B"/>
    <w:rsid w:val="2FEF2C1A"/>
    <w:rsid w:val="30127265"/>
    <w:rsid w:val="30662EDC"/>
    <w:rsid w:val="30711881"/>
    <w:rsid w:val="30913FCE"/>
    <w:rsid w:val="30957FD9"/>
    <w:rsid w:val="30A90681"/>
    <w:rsid w:val="31102E48"/>
    <w:rsid w:val="311B2CAC"/>
    <w:rsid w:val="31332021"/>
    <w:rsid w:val="318F6393"/>
    <w:rsid w:val="31B45EC9"/>
    <w:rsid w:val="31F9551F"/>
    <w:rsid w:val="32260CBD"/>
    <w:rsid w:val="32285F6F"/>
    <w:rsid w:val="322E7A29"/>
    <w:rsid w:val="323218BA"/>
    <w:rsid w:val="32434A17"/>
    <w:rsid w:val="326B3BA4"/>
    <w:rsid w:val="32704FDB"/>
    <w:rsid w:val="32E35FD2"/>
    <w:rsid w:val="32FA5B5D"/>
    <w:rsid w:val="332D0A59"/>
    <w:rsid w:val="332F372B"/>
    <w:rsid w:val="33305A23"/>
    <w:rsid w:val="334118B4"/>
    <w:rsid w:val="33661445"/>
    <w:rsid w:val="33A16D45"/>
    <w:rsid w:val="33D13EF3"/>
    <w:rsid w:val="33E17DFC"/>
    <w:rsid w:val="3409747C"/>
    <w:rsid w:val="342A7568"/>
    <w:rsid w:val="34644855"/>
    <w:rsid w:val="34692ECD"/>
    <w:rsid w:val="34707117"/>
    <w:rsid w:val="34D260A9"/>
    <w:rsid w:val="34E66BA3"/>
    <w:rsid w:val="34E95E89"/>
    <w:rsid w:val="351F7D86"/>
    <w:rsid w:val="355E2D37"/>
    <w:rsid w:val="356B0CF0"/>
    <w:rsid w:val="35B55D1B"/>
    <w:rsid w:val="361E1B63"/>
    <w:rsid w:val="36465623"/>
    <w:rsid w:val="36525CB0"/>
    <w:rsid w:val="365B5E98"/>
    <w:rsid w:val="366A124C"/>
    <w:rsid w:val="366F210B"/>
    <w:rsid w:val="36A55DE0"/>
    <w:rsid w:val="371301F2"/>
    <w:rsid w:val="37281757"/>
    <w:rsid w:val="372F7313"/>
    <w:rsid w:val="373B204A"/>
    <w:rsid w:val="3757085C"/>
    <w:rsid w:val="376C7481"/>
    <w:rsid w:val="37877A05"/>
    <w:rsid w:val="37CB6B3A"/>
    <w:rsid w:val="37EB2F17"/>
    <w:rsid w:val="37EC18DA"/>
    <w:rsid w:val="382A0C93"/>
    <w:rsid w:val="38812BE2"/>
    <w:rsid w:val="38EA77BA"/>
    <w:rsid w:val="3912573F"/>
    <w:rsid w:val="3958538C"/>
    <w:rsid w:val="3A3446B4"/>
    <w:rsid w:val="3A5D2D2E"/>
    <w:rsid w:val="3AA72495"/>
    <w:rsid w:val="3AD71674"/>
    <w:rsid w:val="3AFD3FC9"/>
    <w:rsid w:val="3AFE0CBF"/>
    <w:rsid w:val="3B5B6F6B"/>
    <w:rsid w:val="3B895CD0"/>
    <w:rsid w:val="3BD27491"/>
    <w:rsid w:val="3BDF3480"/>
    <w:rsid w:val="3C096E2C"/>
    <w:rsid w:val="3C2123AD"/>
    <w:rsid w:val="3C734C82"/>
    <w:rsid w:val="3C7B5999"/>
    <w:rsid w:val="3C7C65E0"/>
    <w:rsid w:val="3CDD0544"/>
    <w:rsid w:val="3CE10D02"/>
    <w:rsid w:val="3CEB6517"/>
    <w:rsid w:val="3D226D23"/>
    <w:rsid w:val="3D684847"/>
    <w:rsid w:val="3D9A2417"/>
    <w:rsid w:val="3DD51DB9"/>
    <w:rsid w:val="3DE9514C"/>
    <w:rsid w:val="3E5646D8"/>
    <w:rsid w:val="3E794C02"/>
    <w:rsid w:val="3E7C1B1C"/>
    <w:rsid w:val="3EBF1A09"/>
    <w:rsid w:val="3F015DA7"/>
    <w:rsid w:val="3F433C48"/>
    <w:rsid w:val="3F4E4A01"/>
    <w:rsid w:val="3F59115D"/>
    <w:rsid w:val="3F6C41F3"/>
    <w:rsid w:val="3F7153F9"/>
    <w:rsid w:val="3F7944C0"/>
    <w:rsid w:val="3FAE21A9"/>
    <w:rsid w:val="3FC7395B"/>
    <w:rsid w:val="3FCA4B09"/>
    <w:rsid w:val="3FF256C6"/>
    <w:rsid w:val="401A339B"/>
    <w:rsid w:val="404A11FB"/>
    <w:rsid w:val="40664832"/>
    <w:rsid w:val="408E63E9"/>
    <w:rsid w:val="40B97058"/>
    <w:rsid w:val="40C94DC1"/>
    <w:rsid w:val="40CA3013"/>
    <w:rsid w:val="41032072"/>
    <w:rsid w:val="414D154E"/>
    <w:rsid w:val="41831414"/>
    <w:rsid w:val="41937945"/>
    <w:rsid w:val="41C645C6"/>
    <w:rsid w:val="41FA1D43"/>
    <w:rsid w:val="420936C7"/>
    <w:rsid w:val="424207EC"/>
    <w:rsid w:val="425D41FC"/>
    <w:rsid w:val="42674CEF"/>
    <w:rsid w:val="42B775C7"/>
    <w:rsid w:val="431E7600"/>
    <w:rsid w:val="43332E66"/>
    <w:rsid w:val="43410A46"/>
    <w:rsid w:val="43AB6AF1"/>
    <w:rsid w:val="43DB4A31"/>
    <w:rsid w:val="444E3F5B"/>
    <w:rsid w:val="44521325"/>
    <w:rsid w:val="447B7137"/>
    <w:rsid w:val="44896D41"/>
    <w:rsid w:val="449E0150"/>
    <w:rsid w:val="449E24B7"/>
    <w:rsid w:val="449F2517"/>
    <w:rsid w:val="44A466D4"/>
    <w:rsid w:val="44F160AE"/>
    <w:rsid w:val="450C3149"/>
    <w:rsid w:val="45330E97"/>
    <w:rsid w:val="455F7AA2"/>
    <w:rsid w:val="45BF2580"/>
    <w:rsid w:val="46116FEE"/>
    <w:rsid w:val="46461042"/>
    <w:rsid w:val="469A23A9"/>
    <w:rsid w:val="46C329DE"/>
    <w:rsid w:val="46E80257"/>
    <w:rsid w:val="46EE5581"/>
    <w:rsid w:val="46F317EE"/>
    <w:rsid w:val="46F74436"/>
    <w:rsid w:val="470F09B4"/>
    <w:rsid w:val="472114B3"/>
    <w:rsid w:val="47881532"/>
    <w:rsid w:val="47C37A0E"/>
    <w:rsid w:val="47C44006"/>
    <w:rsid w:val="48164D90"/>
    <w:rsid w:val="482023F0"/>
    <w:rsid w:val="48B34604"/>
    <w:rsid w:val="48FC21D7"/>
    <w:rsid w:val="49042E3A"/>
    <w:rsid w:val="492B486B"/>
    <w:rsid w:val="492D5A14"/>
    <w:rsid w:val="493556E9"/>
    <w:rsid w:val="495F4514"/>
    <w:rsid w:val="498C45DD"/>
    <w:rsid w:val="49B25306"/>
    <w:rsid w:val="49D25143"/>
    <w:rsid w:val="49DD77FC"/>
    <w:rsid w:val="49F17862"/>
    <w:rsid w:val="4A2962C1"/>
    <w:rsid w:val="4A2F1EF0"/>
    <w:rsid w:val="4ADE2F2D"/>
    <w:rsid w:val="4AE03433"/>
    <w:rsid w:val="4B2403B5"/>
    <w:rsid w:val="4B3F45FD"/>
    <w:rsid w:val="4B9902BE"/>
    <w:rsid w:val="4BB072A9"/>
    <w:rsid w:val="4BDA5A90"/>
    <w:rsid w:val="4BDC3BFA"/>
    <w:rsid w:val="4C101AF6"/>
    <w:rsid w:val="4C24278E"/>
    <w:rsid w:val="4C2A4E10"/>
    <w:rsid w:val="4CB16E35"/>
    <w:rsid w:val="4CDD3016"/>
    <w:rsid w:val="4D654CAB"/>
    <w:rsid w:val="4D846D88"/>
    <w:rsid w:val="4DFB61B5"/>
    <w:rsid w:val="4E342065"/>
    <w:rsid w:val="4E575062"/>
    <w:rsid w:val="4EE94FAC"/>
    <w:rsid w:val="4F146768"/>
    <w:rsid w:val="4FC61C62"/>
    <w:rsid w:val="4FD80A41"/>
    <w:rsid w:val="4FE7746F"/>
    <w:rsid w:val="4FEF1598"/>
    <w:rsid w:val="4FFD1D79"/>
    <w:rsid w:val="505C4C07"/>
    <w:rsid w:val="505E5526"/>
    <w:rsid w:val="50BF49D3"/>
    <w:rsid w:val="50D43731"/>
    <w:rsid w:val="50DE41A0"/>
    <w:rsid w:val="51500CB0"/>
    <w:rsid w:val="51833522"/>
    <w:rsid w:val="51DF7FA2"/>
    <w:rsid w:val="520E0006"/>
    <w:rsid w:val="522D51B0"/>
    <w:rsid w:val="523B5B41"/>
    <w:rsid w:val="52726E75"/>
    <w:rsid w:val="52E678FD"/>
    <w:rsid w:val="52FA5A40"/>
    <w:rsid w:val="537312E8"/>
    <w:rsid w:val="538C62D8"/>
    <w:rsid w:val="53C86BE2"/>
    <w:rsid w:val="53CB3E2F"/>
    <w:rsid w:val="53E64970"/>
    <w:rsid w:val="54225EF4"/>
    <w:rsid w:val="54332E5D"/>
    <w:rsid w:val="54464931"/>
    <w:rsid w:val="545A1EBA"/>
    <w:rsid w:val="54BB4527"/>
    <w:rsid w:val="554D7917"/>
    <w:rsid w:val="554E01D0"/>
    <w:rsid w:val="55F926BD"/>
    <w:rsid w:val="560E20D9"/>
    <w:rsid w:val="563518BD"/>
    <w:rsid w:val="564B5B7A"/>
    <w:rsid w:val="56876C5B"/>
    <w:rsid w:val="56C836F9"/>
    <w:rsid w:val="56FE6056"/>
    <w:rsid w:val="5700141D"/>
    <w:rsid w:val="57362D58"/>
    <w:rsid w:val="57BB325E"/>
    <w:rsid w:val="57BD6FD6"/>
    <w:rsid w:val="583240D5"/>
    <w:rsid w:val="5834469F"/>
    <w:rsid w:val="58690E3A"/>
    <w:rsid w:val="58995776"/>
    <w:rsid w:val="58DE7204"/>
    <w:rsid w:val="59233B2A"/>
    <w:rsid w:val="59352B9C"/>
    <w:rsid w:val="594A6647"/>
    <w:rsid w:val="595D0203"/>
    <w:rsid w:val="59975605"/>
    <w:rsid w:val="59A55F73"/>
    <w:rsid w:val="59CF0B59"/>
    <w:rsid w:val="59E06FAB"/>
    <w:rsid w:val="5A0F0D7C"/>
    <w:rsid w:val="5A1F4951"/>
    <w:rsid w:val="5A4237C2"/>
    <w:rsid w:val="5A73328D"/>
    <w:rsid w:val="5A7B6CD4"/>
    <w:rsid w:val="5A9B2FF8"/>
    <w:rsid w:val="5AA004E9"/>
    <w:rsid w:val="5B1C2265"/>
    <w:rsid w:val="5B751975"/>
    <w:rsid w:val="5B7F1ECD"/>
    <w:rsid w:val="5B810518"/>
    <w:rsid w:val="5B975D90"/>
    <w:rsid w:val="5BA858A7"/>
    <w:rsid w:val="5BC30683"/>
    <w:rsid w:val="5BFE24C0"/>
    <w:rsid w:val="5C1662A5"/>
    <w:rsid w:val="5C190553"/>
    <w:rsid w:val="5C1E3DBB"/>
    <w:rsid w:val="5C763964"/>
    <w:rsid w:val="5CBD3C3C"/>
    <w:rsid w:val="5CD56E5C"/>
    <w:rsid w:val="5CD6254D"/>
    <w:rsid w:val="5D94266E"/>
    <w:rsid w:val="5DA55151"/>
    <w:rsid w:val="5DB82E59"/>
    <w:rsid w:val="5DC478AD"/>
    <w:rsid w:val="5E1C257C"/>
    <w:rsid w:val="5E6E2DD8"/>
    <w:rsid w:val="5EB44B9A"/>
    <w:rsid w:val="5EDB2F17"/>
    <w:rsid w:val="5EE30DFC"/>
    <w:rsid w:val="5F225970"/>
    <w:rsid w:val="5F2E2567"/>
    <w:rsid w:val="5F63160F"/>
    <w:rsid w:val="5F6B7317"/>
    <w:rsid w:val="5F785423"/>
    <w:rsid w:val="5FCC2E49"/>
    <w:rsid w:val="5FEB0458"/>
    <w:rsid w:val="6047761F"/>
    <w:rsid w:val="60966A73"/>
    <w:rsid w:val="60AE4E89"/>
    <w:rsid w:val="60CF4344"/>
    <w:rsid w:val="60D75DAA"/>
    <w:rsid w:val="60E14A9E"/>
    <w:rsid w:val="611F485D"/>
    <w:rsid w:val="615A5895"/>
    <w:rsid w:val="61741810"/>
    <w:rsid w:val="61812E22"/>
    <w:rsid w:val="61C61034"/>
    <w:rsid w:val="62145FD9"/>
    <w:rsid w:val="62C35F72"/>
    <w:rsid w:val="6308177E"/>
    <w:rsid w:val="630F445E"/>
    <w:rsid w:val="63301253"/>
    <w:rsid w:val="63716EC6"/>
    <w:rsid w:val="63950E07"/>
    <w:rsid w:val="63DB142B"/>
    <w:rsid w:val="63E47698"/>
    <w:rsid w:val="641B57B0"/>
    <w:rsid w:val="64330486"/>
    <w:rsid w:val="643C1EFF"/>
    <w:rsid w:val="64537C8C"/>
    <w:rsid w:val="64632278"/>
    <w:rsid w:val="650A75D2"/>
    <w:rsid w:val="650F4BE9"/>
    <w:rsid w:val="652C12F7"/>
    <w:rsid w:val="656D3445"/>
    <w:rsid w:val="65A849FF"/>
    <w:rsid w:val="65FA1FE0"/>
    <w:rsid w:val="662D17CA"/>
    <w:rsid w:val="6641680A"/>
    <w:rsid w:val="66456049"/>
    <w:rsid w:val="666613B9"/>
    <w:rsid w:val="668E5F32"/>
    <w:rsid w:val="669B7E0F"/>
    <w:rsid w:val="66A34B29"/>
    <w:rsid w:val="673C7BB8"/>
    <w:rsid w:val="673D3C8F"/>
    <w:rsid w:val="675F0E86"/>
    <w:rsid w:val="67694A84"/>
    <w:rsid w:val="678C1C1C"/>
    <w:rsid w:val="67941A60"/>
    <w:rsid w:val="67B071B7"/>
    <w:rsid w:val="67BD4079"/>
    <w:rsid w:val="67EE0AA6"/>
    <w:rsid w:val="68AB177D"/>
    <w:rsid w:val="68B37D2D"/>
    <w:rsid w:val="68B65AA7"/>
    <w:rsid w:val="68DC1286"/>
    <w:rsid w:val="68DD74D8"/>
    <w:rsid w:val="68E9092A"/>
    <w:rsid w:val="692956C0"/>
    <w:rsid w:val="69303AFB"/>
    <w:rsid w:val="693A5671"/>
    <w:rsid w:val="69B7104E"/>
    <w:rsid w:val="69CF639A"/>
    <w:rsid w:val="69EA16F3"/>
    <w:rsid w:val="69EB5AC6"/>
    <w:rsid w:val="6A31081E"/>
    <w:rsid w:val="6A516727"/>
    <w:rsid w:val="6A687275"/>
    <w:rsid w:val="6AC81AC2"/>
    <w:rsid w:val="6AD44E64"/>
    <w:rsid w:val="6AD5090A"/>
    <w:rsid w:val="6AF9611F"/>
    <w:rsid w:val="6B5670CE"/>
    <w:rsid w:val="6B604D7B"/>
    <w:rsid w:val="6BB919BB"/>
    <w:rsid w:val="6BFD6D15"/>
    <w:rsid w:val="6C37484A"/>
    <w:rsid w:val="6C57134F"/>
    <w:rsid w:val="6C855F77"/>
    <w:rsid w:val="6CD30C48"/>
    <w:rsid w:val="6CDC7AA6"/>
    <w:rsid w:val="6D464D4F"/>
    <w:rsid w:val="6D74389B"/>
    <w:rsid w:val="6DA300CD"/>
    <w:rsid w:val="6DA542F8"/>
    <w:rsid w:val="6DF46BB9"/>
    <w:rsid w:val="6E1344C4"/>
    <w:rsid w:val="6E1421E8"/>
    <w:rsid w:val="6E360B62"/>
    <w:rsid w:val="6E427DDD"/>
    <w:rsid w:val="6E5E3AE5"/>
    <w:rsid w:val="6EB1726D"/>
    <w:rsid w:val="6EB3720E"/>
    <w:rsid w:val="6ECC76A7"/>
    <w:rsid w:val="6F2179F2"/>
    <w:rsid w:val="6F277B42"/>
    <w:rsid w:val="6F2B18F6"/>
    <w:rsid w:val="6F4477B6"/>
    <w:rsid w:val="6F56276B"/>
    <w:rsid w:val="6F5C6D28"/>
    <w:rsid w:val="6F614293"/>
    <w:rsid w:val="6FA20363"/>
    <w:rsid w:val="6FF04079"/>
    <w:rsid w:val="700C68A0"/>
    <w:rsid w:val="702E1CFD"/>
    <w:rsid w:val="706D1B66"/>
    <w:rsid w:val="71285068"/>
    <w:rsid w:val="713E3A06"/>
    <w:rsid w:val="714F4073"/>
    <w:rsid w:val="71C73778"/>
    <w:rsid w:val="71F8062B"/>
    <w:rsid w:val="71F80EDE"/>
    <w:rsid w:val="72530373"/>
    <w:rsid w:val="726C71D7"/>
    <w:rsid w:val="72E25D91"/>
    <w:rsid w:val="72F24482"/>
    <w:rsid w:val="72F57A53"/>
    <w:rsid w:val="73426189"/>
    <w:rsid w:val="738B5CF2"/>
    <w:rsid w:val="73ED5751"/>
    <w:rsid w:val="740C3566"/>
    <w:rsid w:val="74345C0A"/>
    <w:rsid w:val="746845CA"/>
    <w:rsid w:val="746C1710"/>
    <w:rsid w:val="747B1953"/>
    <w:rsid w:val="74C2787E"/>
    <w:rsid w:val="74F6722B"/>
    <w:rsid w:val="75162A72"/>
    <w:rsid w:val="7542435D"/>
    <w:rsid w:val="7550323D"/>
    <w:rsid w:val="75890257"/>
    <w:rsid w:val="763E7048"/>
    <w:rsid w:val="76425DB2"/>
    <w:rsid w:val="766476E7"/>
    <w:rsid w:val="76962A74"/>
    <w:rsid w:val="76A72ED3"/>
    <w:rsid w:val="76CA4E14"/>
    <w:rsid w:val="76DD59DF"/>
    <w:rsid w:val="76E25EF9"/>
    <w:rsid w:val="77747EF2"/>
    <w:rsid w:val="77CD3D4B"/>
    <w:rsid w:val="7808580C"/>
    <w:rsid w:val="781A237F"/>
    <w:rsid w:val="78220D9A"/>
    <w:rsid w:val="784A5EBD"/>
    <w:rsid w:val="785F5B8F"/>
    <w:rsid w:val="78B03202"/>
    <w:rsid w:val="78D00F85"/>
    <w:rsid w:val="78DD4999"/>
    <w:rsid w:val="79490D79"/>
    <w:rsid w:val="796C1D3D"/>
    <w:rsid w:val="79D378DB"/>
    <w:rsid w:val="79FF36AB"/>
    <w:rsid w:val="7A1E13A4"/>
    <w:rsid w:val="7A2219C5"/>
    <w:rsid w:val="7A2443D5"/>
    <w:rsid w:val="7A590988"/>
    <w:rsid w:val="7BBC11CF"/>
    <w:rsid w:val="7C0B42BB"/>
    <w:rsid w:val="7C672135"/>
    <w:rsid w:val="7CB00608"/>
    <w:rsid w:val="7D8201F6"/>
    <w:rsid w:val="7DB22E0B"/>
    <w:rsid w:val="7DC6314B"/>
    <w:rsid w:val="7E325778"/>
    <w:rsid w:val="7E494870"/>
    <w:rsid w:val="7E537674"/>
    <w:rsid w:val="7E9444E6"/>
    <w:rsid w:val="7ECB4DA3"/>
    <w:rsid w:val="7F260125"/>
    <w:rsid w:val="7F3C6183"/>
    <w:rsid w:val="7F5229BD"/>
    <w:rsid w:val="7F5B261B"/>
    <w:rsid w:val="7F604567"/>
    <w:rsid w:val="7F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420"/>
      </w:tabs>
      <w:spacing w:before="50" w:beforeLines="50" w:beforeAutospacing="0" w:after="50" w:afterLines="50" w:afterAutospacing="0" w:line="576" w:lineRule="auto"/>
      <w:ind w:left="425" w:hanging="425"/>
      <w:jc w:val="center"/>
      <w:outlineLvl w:val="0"/>
    </w:pPr>
    <w:rPr>
      <w:rFonts w:ascii="方正小标宋简体" w:hAnsi="方正小标宋简体" w:eastAsia="宋体" w:cs="方正小标宋简体"/>
      <w:b/>
      <w:kern w:val="44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567" w:hanging="567"/>
      <w:outlineLvl w:val="1"/>
    </w:pPr>
    <w:rPr>
      <w:rFonts w:ascii="宋体" w:hAnsi="宋体" w:eastAsia="宋体" w:cs="宋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709" w:hanging="709"/>
      <w:outlineLvl w:val="2"/>
    </w:pPr>
    <w:rPr>
      <w:rFonts w:ascii="宋体" w:hAnsi="宋体" w:eastAsia="宋体" w:cs="宋体"/>
      <w:b/>
      <w:bCs/>
      <w:sz w:val="28"/>
      <w:szCs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850" w:hanging="850"/>
      <w:outlineLvl w:val="3"/>
    </w:pPr>
    <w:rPr>
      <w:rFonts w:ascii="宋体" w:hAnsi="宋体" w:eastAsia="宋体" w:cs="宋体"/>
      <w:b/>
      <w:bCs/>
      <w:szCs w:val="21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50" w:beforeLines="50" w:beforeAutospacing="0" w:after="50" w:afterLines="50" w:afterAutospacing="0" w:line="372" w:lineRule="auto"/>
      <w:ind w:left="0" w:firstLine="0"/>
      <w:outlineLvl w:val="4"/>
    </w:pPr>
    <w:rPr>
      <w:rFonts w:ascii="宋体" w:hAnsi="宋体" w:eastAsia="宋体" w:cs="宋体"/>
      <w:b/>
      <w:bCs/>
      <w:szCs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ind w:firstLine="420" w:firstLineChars="200"/>
    </w:p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 w:cs="宋体"/>
      <w:sz w:val="21"/>
      <w:szCs w:val="21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A首行缩进-正文"/>
    <w:basedOn w:val="1"/>
    <w:qFormat/>
    <w:uiPriority w:val="0"/>
    <w:pPr>
      <w:spacing w:before="100" w:beforeLines="100" w:after="100" w:afterLines="100" w:line="360" w:lineRule="exact"/>
      <w:ind w:firstLine="880" w:firstLineChars="200"/>
    </w:pPr>
    <w:rPr>
      <w:rFonts w:eastAsia="宋体" w:cs="宋体" w:asciiTheme="minorAscii" w:hAnsiTheme="minorAscii"/>
      <w:szCs w:val="21"/>
    </w:rPr>
  </w:style>
  <w:style w:type="paragraph" w:customStyle="1" w:styleId="19">
    <w:name w:val="A图片-居中"/>
    <w:basedOn w:val="1"/>
    <w:qFormat/>
    <w:uiPriority w:val="0"/>
    <w:pPr>
      <w:spacing w:before="100" w:beforeLines="100" w:after="100" w:afterLines="100"/>
      <w:jc w:val="center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3" Type="http://schemas.openxmlformats.org/officeDocument/2006/relationships/fontTable" Target="fontTable.xml"/><Relationship Id="rId132" Type="http://schemas.openxmlformats.org/officeDocument/2006/relationships/numbering" Target="numbering.xml"/><Relationship Id="rId131" Type="http://schemas.openxmlformats.org/officeDocument/2006/relationships/customXml" Target="../customXml/item1.xml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57</Pages>
  <Words>10767</Words>
  <Characters>10975</Characters>
  <Lines>0</Lines>
  <Paragraphs>0</Paragraphs>
  <TotalTime>0</TotalTime>
  <ScaleCrop>false</ScaleCrop>
  <LinksUpToDate>false</LinksUpToDate>
  <CharactersWithSpaces>11196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2022-05-09T06:28:00Z</dcterms:created>
  <dc:creator>w</dc:creator>
  <cp:lastModifiedBy>lbs</cp:lastModifiedBy>
  <cp:lastPrinted>2023-05-16T03:01:00Z</cp:lastPrinted>
  <dcterms:modified xsi:type="dcterms:W3CDTF">2023-08-25T08:35:53Z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4C2943DB425F4465AB610B9AA54D7BE5_13</vt:lpwstr>
  </property>
</Properties>
</file>